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F51A9" w14:textId="7DFAB0C5" w:rsidR="00AB70B2" w:rsidRPr="00D14721" w:rsidRDefault="00AB70B2" w:rsidP="00AB70B2">
      <w:pPr>
        <w:pStyle w:val="Header"/>
        <w:tabs>
          <w:tab w:val="clear" w:pos="4536"/>
          <w:tab w:val="right" w:pos="9000"/>
        </w:tabs>
        <w:jc w:val="center"/>
        <w:rPr>
          <w:b/>
          <w:bCs/>
          <w:sz w:val="24"/>
          <w:szCs w:val="24"/>
        </w:rPr>
      </w:pPr>
      <w:r w:rsidRPr="00D14721">
        <w:rPr>
          <w:b/>
          <w:noProof/>
          <w:sz w:val="24"/>
          <w:szCs w:val="24"/>
          <w:lang w:val="en-US" w:eastAsia="en-US"/>
        </w:rPr>
        <w:drawing>
          <wp:inline distT="0" distB="0" distL="0" distR="0" wp14:anchorId="157C22CA" wp14:editId="47C67666">
            <wp:extent cx="2352675" cy="857250"/>
            <wp:effectExtent l="0" t="0" r="9525" b="0"/>
            <wp:docPr id="1337955269"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57250"/>
                    </a:xfrm>
                    <a:prstGeom prst="rect">
                      <a:avLst/>
                    </a:prstGeom>
                    <a:noFill/>
                    <a:ln>
                      <a:noFill/>
                    </a:ln>
                  </pic:spPr>
                </pic:pic>
              </a:graphicData>
            </a:graphic>
          </wp:inline>
        </w:drawing>
      </w:r>
    </w:p>
    <w:p w14:paraId="3BFC95AA" w14:textId="77777777" w:rsidR="00AB70B2" w:rsidRPr="00D14721" w:rsidRDefault="00AB70B2" w:rsidP="00AB70B2">
      <w:pPr>
        <w:pStyle w:val="Header"/>
        <w:tabs>
          <w:tab w:val="clear" w:pos="4536"/>
          <w:tab w:val="right" w:pos="9000"/>
        </w:tabs>
        <w:rPr>
          <w:b/>
          <w:bCs/>
          <w:sz w:val="24"/>
          <w:szCs w:val="24"/>
        </w:rPr>
      </w:pPr>
    </w:p>
    <w:p w14:paraId="0F66A050" w14:textId="77777777" w:rsidR="002F3D48" w:rsidRPr="00D14721" w:rsidRDefault="002F3D48" w:rsidP="00AB70B2">
      <w:pPr>
        <w:pStyle w:val="Header"/>
        <w:tabs>
          <w:tab w:val="clear" w:pos="4536"/>
          <w:tab w:val="right" w:pos="9000"/>
        </w:tabs>
        <w:rPr>
          <w:b/>
          <w:bCs/>
          <w:sz w:val="24"/>
          <w:szCs w:val="24"/>
        </w:rPr>
      </w:pPr>
    </w:p>
    <w:p w14:paraId="6406695B" w14:textId="0266927A" w:rsidR="00AB70B2" w:rsidRPr="00D14721" w:rsidRDefault="00AB70B2" w:rsidP="00AB70B2">
      <w:pPr>
        <w:pStyle w:val="Header"/>
        <w:tabs>
          <w:tab w:val="clear" w:pos="4536"/>
          <w:tab w:val="right" w:pos="9000"/>
        </w:tabs>
        <w:rPr>
          <w:b/>
          <w:snapToGrid w:val="0"/>
          <w:color w:val="000000"/>
          <w:sz w:val="24"/>
        </w:rPr>
      </w:pPr>
      <w:r w:rsidRPr="00D14721">
        <w:rPr>
          <w:b/>
          <w:bCs/>
          <w:sz w:val="24"/>
          <w:szCs w:val="24"/>
        </w:rPr>
        <w:t>Press Release</w:t>
      </w:r>
      <w:r w:rsidRPr="00D14721">
        <w:rPr>
          <w:b/>
          <w:bCs/>
          <w:sz w:val="24"/>
          <w:szCs w:val="24"/>
        </w:rPr>
        <w:tab/>
        <w:t xml:space="preserve">London, </w:t>
      </w:r>
      <w:r w:rsidRPr="00D14721">
        <w:rPr>
          <w:b/>
          <w:snapToGrid w:val="0"/>
          <w:color w:val="000000"/>
          <w:sz w:val="24"/>
        </w:rPr>
        <w:t xml:space="preserve">Nice, Paris – </w:t>
      </w:r>
      <w:r w:rsidR="00D14721" w:rsidRPr="00D14721">
        <w:rPr>
          <w:b/>
          <w:snapToGrid w:val="0"/>
          <w:color w:val="000000"/>
          <w:sz w:val="24"/>
        </w:rPr>
        <w:t>10</w:t>
      </w:r>
      <w:r w:rsidRPr="00D14721">
        <w:rPr>
          <w:b/>
          <w:snapToGrid w:val="0"/>
          <w:color w:val="000000"/>
          <w:sz w:val="24"/>
        </w:rPr>
        <w:t xml:space="preserve"> </w:t>
      </w:r>
      <w:r w:rsidR="00173887" w:rsidRPr="00D14721">
        <w:rPr>
          <w:b/>
          <w:snapToGrid w:val="0"/>
          <w:color w:val="000000"/>
          <w:sz w:val="24"/>
        </w:rPr>
        <w:t xml:space="preserve">July </w:t>
      </w:r>
      <w:r w:rsidRPr="00D14721">
        <w:rPr>
          <w:b/>
          <w:snapToGrid w:val="0"/>
          <w:color w:val="000000"/>
          <w:sz w:val="24"/>
        </w:rPr>
        <w:t>2024</w:t>
      </w:r>
    </w:p>
    <w:p w14:paraId="479304B7" w14:textId="77777777" w:rsidR="003F2891" w:rsidRDefault="003F2891" w:rsidP="00120065">
      <w:pPr>
        <w:spacing w:after="0"/>
        <w:rPr>
          <w:rFonts w:ascii="Times New Roman" w:hAnsi="Times New Roman" w:cs="Times New Roman"/>
          <w:b/>
          <w:sz w:val="34"/>
          <w:szCs w:val="34"/>
        </w:rPr>
      </w:pPr>
    </w:p>
    <w:p w14:paraId="22F8C824" w14:textId="5799EFD8" w:rsidR="000949F7" w:rsidRDefault="000949F7" w:rsidP="00120065">
      <w:pPr>
        <w:spacing w:after="0"/>
        <w:rPr>
          <w:rFonts w:ascii="Times New Roman" w:hAnsi="Times New Roman" w:cs="Times New Roman"/>
          <w:b/>
          <w:sz w:val="34"/>
          <w:szCs w:val="34"/>
        </w:rPr>
      </w:pPr>
      <w:r w:rsidRPr="00D14721">
        <w:rPr>
          <w:rFonts w:ascii="Times New Roman" w:hAnsi="Times New Roman" w:cs="Times New Roman"/>
          <w:b/>
          <w:sz w:val="34"/>
          <w:szCs w:val="34"/>
        </w:rPr>
        <w:t xml:space="preserve">Aggressive Climate Policies Needed to Preserve Global Equity Values, Warns New </w:t>
      </w:r>
      <w:r w:rsidR="005B52EF" w:rsidRPr="00D14721">
        <w:rPr>
          <w:rFonts w:ascii="Times New Roman" w:hAnsi="Times New Roman" w:cs="Times New Roman"/>
          <w:b/>
          <w:sz w:val="34"/>
          <w:szCs w:val="34"/>
        </w:rPr>
        <w:t>Study</w:t>
      </w:r>
    </w:p>
    <w:p w14:paraId="692E77B8" w14:textId="77777777" w:rsidR="00673BD9" w:rsidRDefault="00673BD9" w:rsidP="00120065">
      <w:pPr>
        <w:spacing w:after="0"/>
        <w:rPr>
          <w:rFonts w:ascii="Times New Roman" w:hAnsi="Times New Roman" w:cs="Times New Roman"/>
          <w:b/>
          <w:sz w:val="34"/>
          <w:szCs w:val="34"/>
        </w:rPr>
      </w:pPr>
    </w:p>
    <w:p w14:paraId="343CEC5A" w14:textId="77777777" w:rsidR="00673BD9" w:rsidRDefault="00673BD9" w:rsidP="00673BD9">
      <w:pPr>
        <w:rPr>
          <w:rFonts w:ascii="Times New Roman" w:hAnsi="Times New Roman" w:cs="Times New Roman"/>
          <w:b/>
          <w:i/>
          <w:iCs/>
          <w:color w:val="0072BC"/>
          <w:sz w:val="24"/>
          <w:szCs w:val="24"/>
          <w:lang w:val="en-US"/>
        </w:rPr>
      </w:pPr>
      <w:r>
        <w:rPr>
          <w:rFonts w:ascii="Times New Roman" w:hAnsi="Times New Roman" w:cs="Times New Roman"/>
          <w:b/>
          <w:i/>
          <w:iCs/>
          <w:color w:val="0072BC"/>
          <w:sz w:val="24"/>
          <w:szCs w:val="24"/>
        </w:rPr>
        <w:t xml:space="preserve">New EDHEC-Risk Climate Impact Institution research: </w:t>
      </w:r>
    </w:p>
    <w:p w14:paraId="339204AA" w14:textId="3B09D426" w:rsidR="00013088" w:rsidRPr="003356CD" w:rsidRDefault="00013088" w:rsidP="00644838">
      <w:pPr>
        <w:pStyle w:val="ListParagraph"/>
        <w:numPr>
          <w:ilvl w:val="0"/>
          <w:numId w:val="10"/>
        </w:numPr>
        <w:spacing w:after="0" w:line="252" w:lineRule="auto"/>
        <w:rPr>
          <w:rFonts w:ascii="Times New Roman" w:hAnsi="Times New Roman" w:cs="Times New Roman"/>
          <w:b/>
          <w:i/>
          <w:iCs/>
          <w:color w:val="0072BC"/>
          <w:sz w:val="24"/>
          <w:szCs w:val="24"/>
          <w14:ligatures w14:val="standardContextual"/>
        </w:rPr>
      </w:pPr>
      <w:bookmarkStart w:id="0" w:name="_Hlk171340430"/>
      <w:r w:rsidRPr="00013088">
        <w:rPr>
          <w:rFonts w:ascii="Times New Roman" w:hAnsi="Times New Roman" w:cs="Times New Roman"/>
          <w:b/>
          <w:i/>
          <w:iCs/>
          <w:color w:val="0072BC"/>
          <w:sz w:val="24"/>
          <w:szCs w:val="24"/>
        </w:rPr>
        <w:t xml:space="preserve">Extends valuation techniques to estimate the effect on global equity </w:t>
      </w:r>
      <w:r>
        <w:rPr>
          <w:rFonts w:ascii="Times New Roman" w:hAnsi="Times New Roman" w:cs="Times New Roman"/>
          <w:b/>
          <w:i/>
          <w:iCs/>
          <w:color w:val="0072BC"/>
          <w:sz w:val="24"/>
          <w:szCs w:val="24"/>
        </w:rPr>
        <w:t>values</w:t>
      </w:r>
      <w:r w:rsidRPr="00013088">
        <w:rPr>
          <w:rFonts w:ascii="Times New Roman" w:hAnsi="Times New Roman" w:cs="Times New Roman"/>
          <w:b/>
          <w:i/>
          <w:iCs/>
          <w:color w:val="0072BC"/>
          <w:sz w:val="24"/>
          <w:szCs w:val="24"/>
        </w:rPr>
        <w:t xml:space="preserve"> of climate and economic uncertainties, financial contingencies, transition costs and physical risks. </w:t>
      </w:r>
    </w:p>
    <w:p w14:paraId="1FB5CFED" w14:textId="77777777" w:rsidR="00013088" w:rsidRDefault="00013088" w:rsidP="00013088">
      <w:pPr>
        <w:pStyle w:val="ListParagraph"/>
        <w:numPr>
          <w:ilvl w:val="0"/>
          <w:numId w:val="10"/>
        </w:numPr>
        <w:spacing w:after="0" w:line="252" w:lineRule="auto"/>
        <w:rPr>
          <w:rFonts w:ascii="Times New Roman" w:hAnsi="Times New Roman" w:cs="Times New Roman"/>
          <w:b/>
          <w:i/>
          <w:iCs/>
          <w:color w:val="0072BC"/>
          <w:sz w:val="24"/>
          <w:szCs w:val="24"/>
        </w:rPr>
      </w:pPr>
      <w:r>
        <w:rPr>
          <w:rFonts w:ascii="Times New Roman" w:hAnsi="Times New Roman" w:cs="Times New Roman"/>
          <w:b/>
          <w:i/>
          <w:iCs/>
          <w:color w:val="0072BC"/>
          <w:sz w:val="24"/>
          <w:szCs w:val="24"/>
        </w:rPr>
        <w:t xml:space="preserve">Evaluates the impact on global equity values of different greenhouse gas emissions trajectories under multiple climate and economic scenarios. </w:t>
      </w:r>
    </w:p>
    <w:p w14:paraId="600ED9A4" w14:textId="77777777" w:rsidR="00644838" w:rsidRDefault="00644838" w:rsidP="00644838">
      <w:pPr>
        <w:pStyle w:val="ListParagraph"/>
        <w:numPr>
          <w:ilvl w:val="0"/>
          <w:numId w:val="10"/>
        </w:numPr>
        <w:spacing w:after="0" w:line="252" w:lineRule="auto"/>
        <w:rPr>
          <w:rFonts w:ascii="Times New Roman" w:hAnsi="Times New Roman" w:cs="Times New Roman"/>
          <w:b/>
          <w:i/>
          <w:iCs/>
          <w:color w:val="0072BC"/>
          <w:sz w:val="24"/>
          <w:szCs w:val="24"/>
        </w:rPr>
      </w:pPr>
      <w:r>
        <w:rPr>
          <w:rFonts w:ascii="Times New Roman" w:hAnsi="Times New Roman" w:cs="Times New Roman"/>
          <w:b/>
          <w:i/>
          <w:iCs/>
          <w:color w:val="0072BC"/>
          <w:sz w:val="24"/>
          <w:szCs w:val="24"/>
        </w:rPr>
        <w:t>Identifies aggressiveness of emissions abatement, location of climate tipping points, and ability and willingness</w:t>
      </w:r>
      <w:r>
        <w:t xml:space="preserve"> </w:t>
      </w:r>
      <w:r>
        <w:rPr>
          <w:rFonts w:ascii="Times New Roman" w:hAnsi="Times New Roman" w:cs="Times New Roman"/>
          <w:b/>
          <w:i/>
          <w:iCs/>
          <w:color w:val="0072BC"/>
          <w:sz w:val="24"/>
          <w:szCs w:val="24"/>
        </w:rPr>
        <w:t>of central banks to lower rates during economic distress as key impact factors of equity valuation.</w:t>
      </w:r>
    </w:p>
    <w:p w14:paraId="2043FE28" w14:textId="77777777" w:rsidR="00673BD9" w:rsidRDefault="00673BD9" w:rsidP="00673BD9">
      <w:pPr>
        <w:pStyle w:val="ListParagraph"/>
        <w:numPr>
          <w:ilvl w:val="0"/>
          <w:numId w:val="10"/>
        </w:numPr>
        <w:spacing w:after="0" w:line="252" w:lineRule="auto"/>
        <w:rPr>
          <w:rFonts w:ascii="Times New Roman" w:hAnsi="Times New Roman" w:cs="Times New Roman"/>
          <w:b/>
          <w:i/>
          <w:iCs/>
          <w:color w:val="0072BC"/>
          <w:sz w:val="24"/>
          <w:szCs w:val="24"/>
        </w:rPr>
      </w:pPr>
      <w:r>
        <w:rPr>
          <w:rFonts w:ascii="Times New Roman" w:hAnsi="Times New Roman" w:cs="Times New Roman"/>
          <w:b/>
          <w:i/>
          <w:iCs/>
          <w:color w:val="0072BC"/>
          <w:sz w:val="24"/>
          <w:szCs w:val="24"/>
        </w:rPr>
        <w:t>Indicates that prompt and robust abatement action is needed to keep losses below 10%. Conversely, over 40% of global equity value is at risk if decarbonisation efforts do not accelerate, with losses exceeding 50% when climate tipping points are factored in.</w:t>
      </w:r>
    </w:p>
    <w:bookmarkEnd w:id="0"/>
    <w:p w14:paraId="7A553EF8" w14:textId="3B7384CE" w:rsidR="00644838" w:rsidRPr="003356CD" w:rsidRDefault="00644838" w:rsidP="003356CD">
      <w:pPr>
        <w:pStyle w:val="ListParagraph"/>
        <w:spacing w:after="0" w:line="252" w:lineRule="auto"/>
        <w:rPr>
          <w:rFonts w:ascii="Times New Roman" w:hAnsi="Times New Roman" w:cs="Times New Roman"/>
          <w:b/>
          <w:i/>
          <w:iCs/>
          <w:color w:val="0072BC"/>
          <w:sz w:val="24"/>
          <w:szCs w:val="24"/>
        </w:rPr>
      </w:pPr>
    </w:p>
    <w:p w14:paraId="14C44745" w14:textId="5A79100A" w:rsidR="00915ABF" w:rsidRPr="00A83D3C" w:rsidRDefault="00915ABF" w:rsidP="00915ABF">
      <w:pPr>
        <w:spacing w:line="256" w:lineRule="auto"/>
        <w:jc w:val="both"/>
        <w:rPr>
          <w:rFonts w:ascii="Times New Roman" w:hAnsi="Times New Roman" w:cs="Times New Roman"/>
          <w:sz w:val="24"/>
          <w:szCs w:val="24"/>
        </w:rPr>
      </w:pPr>
      <w:bookmarkStart w:id="1" w:name="_Hlk171018966"/>
      <w:r w:rsidRPr="00F30E17">
        <w:rPr>
          <w:rFonts w:ascii="Times New Roman" w:hAnsi="Times New Roman" w:cs="Times New Roman"/>
          <w:sz w:val="24"/>
          <w:szCs w:val="24"/>
        </w:rPr>
        <w:t xml:space="preserve">In </w:t>
      </w:r>
      <w:r w:rsidR="00D54C79">
        <w:rPr>
          <w:rFonts w:ascii="Times New Roman" w:hAnsi="Times New Roman" w:cs="Times New Roman"/>
          <w:sz w:val="24"/>
          <w:szCs w:val="24"/>
        </w:rPr>
        <w:t xml:space="preserve">a new study, </w:t>
      </w:r>
      <w:hyperlink r:id="rId10" w:history="1">
        <w:r w:rsidRPr="00A83D3C">
          <w:rPr>
            <w:rStyle w:val="Hyperlink"/>
            <w:rFonts w:ascii="Times New Roman" w:hAnsi="Times New Roman" w:cs="Times New Roman"/>
            <w:i/>
            <w:iCs/>
            <w:sz w:val="24"/>
            <w:szCs w:val="24"/>
          </w:rPr>
          <w:t>How Does Climate Risk Affect Global Equity Valuations? A Novel Approach</w:t>
        </w:r>
      </w:hyperlink>
      <w:r w:rsidRPr="00F30E17">
        <w:rPr>
          <w:rFonts w:ascii="Times New Roman" w:hAnsi="Times New Roman" w:cs="Times New Roman"/>
          <w:sz w:val="24"/>
          <w:szCs w:val="24"/>
        </w:rPr>
        <w:t xml:space="preserve">, </w:t>
      </w:r>
      <w:r w:rsidR="00080346" w:rsidRPr="00080346">
        <w:rPr>
          <w:rFonts w:ascii="Times New Roman" w:hAnsi="Times New Roman" w:cs="Times New Roman"/>
          <w:sz w:val="24"/>
          <w:szCs w:val="24"/>
        </w:rPr>
        <w:t>EDHEC-Risk Climate Impact Institute addresses key limitations of current climate-aware valuation approaches to produce novel insights. The paper, conducted within the research chair established by EDHEC Business School and Scientific Beta, reveals that the impact of climate risk on global equity valuation can be significant, especially in scenarios with limited climate action.</w:t>
      </w:r>
    </w:p>
    <w:p w14:paraId="0CB55897" w14:textId="114A36F7" w:rsidR="00D14721" w:rsidRPr="00D14721" w:rsidRDefault="00D14721" w:rsidP="00D14721">
      <w:pPr>
        <w:spacing w:line="256" w:lineRule="auto"/>
        <w:jc w:val="both"/>
        <w:rPr>
          <w:rFonts w:ascii="Times New Roman" w:hAnsi="Times New Roman" w:cs="Times New Roman"/>
          <w:sz w:val="24"/>
          <w:szCs w:val="24"/>
        </w:rPr>
      </w:pPr>
      <w:r w:rsidRPr="00D14721">
        <w:rPr>
          <w:rFonts w:ascii="Times New Roman" w:hAnsi="Times New Roman" w:cs="Times New Roman"/>
          <w:sz w:val="24"/>
          <w:szCs w:val="24"/>
        </w:rPr>
        <w:t xml:space="preserve">Key </w:t>
      </w:r>
      <w:r w:rsidR="00F52A46">
        <w:rPr>
          <w:rFonts w:ascii="Times New Roman" w:hAnsi="Times New Roman" w:cs="Times New Roman"/>
          <w:sz w:val="24"/>
          <w:szCs w:val="24"/>
        </w:rPr>
        <w:t>F</w:t>
      </w:r>
      <w:r w:rsidRPr="00D14721">
        <w:rPr>
          <w:rFonts w:ascii="Times New Roman" w:hAnsi="Times New Roman" w:cs="Times New Roman"/>
          <w:sz w:val="24"/>
          <w:szCs w:val="24"/>
        </w:rPr>
        <w:t>indings:</w:t>
      </w:r>
      <w:r w:rsidR="00634CA5" w:rsidRPr="00634CA5">
        <w:t xml:space="preserve"> </w:t>
      </w:r>
    </w:p>
    <w:p w14:paraId="24143EB2" w14:textId="77777777" w:rsidR="00D14721" w:rsidRPr="00D14721" w:rsidRDefault="00D14721" w:rsidP="00D14721">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sz w:val="24"/>
          <w:szCs w:val="24"/>
        </w:rPr>
      </w:pPr>
      <w:r w:rsidRPr="00FA555B">
        <w:rPr>
          <w:rFonts w:ascii="Times New Roman" w:eastAsia="CMR10" w:hAnsi="Times New Roman" w:cs="Times New Roman"/>
          <w:b/>
          <w:bCs/>
          <w:sz w:val="24"/>
          <w:szCs w:val="24"/>
        </w:rPr>
        <w:t>The uncertainty of climate and economic outcomes and the state dependence of discounting</w:t>
      </w:r>
      <w:r w:rsidRPr="00D14721">
        <w:rPr>
          <w:rFonts w:ascii="Times New Roman" w:eastAsia="CMR10" w:hAnsi="Times New Roman" w:cs="Times New Roman"/>
          <w:sz w:val="24"/>
          <w:szCs w:val="24"/>
        </w:rPr>
        <w:t xml:space="preserve"> are two key and much neglected contributors to changes in equity valuation. </w:t>
      </w:r>
    </w:p>
    <w:p w14:paraId="37B60217" w14:textId="0AB9A044" w:rsidR="00D14721" w:rsidRPr="00D14721" w:rsidRDefault="00D14721" w:rsidP="00D14721">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sz w:val="24"/>
          <w:szCs w:val="24"/>
        </w:rPr>
      </w:pPr>
      <w:r w:rsidRPr="00D14721">
        <w:rPr>
          <w:rFonts w:ascii="Times New Roman" w:hAnsi="Times New Roman" w:cs="Times New Roman"/>
          <w:sz w:val="24"/>
          <w:szCs w:val="24"/>
        </w:rPr>
        <w:t xml:space="preserve">The magnitude of losses depends on the </w:t>
      </w:r>
      <w:r w:rsidRPr="00FA555B">
        <w:rPr>
          <w:rFonts w:ascii="Times New Roman" w:hAnsi="Times New Roman" w:cs="Times New Roman"/>
          <w:b/>
          <w:bCs/>
          <w:sz w:val="24"/>
          <w:szCs w:val="24"/>
        </w:rPr>
        <w:t>aggressiveness of emission abatement policy</w:t>
      </w:r>
      <w:r w:rsidRPr="00D14721">
        <w:rPr>
          <w:rFonts w:ascii="Times New Roman" w:hAnsi="Times New Roman" w:cs="Times New Roman"/>
          <w:sz w:val="24"/>
          <w:szCs w:val="24"/>
        </w:rPr>
        <w:t xml:space="preserve">; the </w:t>
      </w:r>
      <w:r w:rsidRPr="00FA555B">
        <w:rPr>
          <w:rFonts w:ascii="Times New Roman" w:hAnsi="Times New Roman" w:cs="Times New Roman"/>
          <w:b/>
          <w:bCs/>
          <w:sz w:val="24"/>
          <w:szCs w:val="24"/>
        </w:rPr>
        <w:t>presence or otherwise of tipping points</w:t>
      </w:r>
      <w:r w:rsidRPr="00D14721">
        <w:rPr>
          <w:rFonts w:ascii="Times New Roman" w:hAnsi="Times New Roman" w:cs="Times New Roman"/>
          <w:sz w:val="24"/>
          <w:szCs w:val="24"/>
        </w:rPr>
        <w:t xml:space="preserve">; on the extent of Central </w:t>
      </w:r>
      <w:r w:rsidR="005B22F2">
        <w:rPr>
          <w:rFonts w:ascii="Times New Roman" w:hAnsi="Times New Roman" w:cs="Times New Roman"/>
          <w:sz w:val="24"/>
          <w:szCs w:val="24"/>
        </w:rPr>
        <w:t>B</w:t>
      </w:r>
      <w:r w:rsidRPr="00D14721">
        <w:rPr>
          <w:rFonts w:ascii="Times New Roman" w:hAnsi="Times New Roman" w:cs="Times New Roman"/>
          <w:sz w:val="24"/>
          <w:szCs w:val="24"/>
        </w:rPr>
        <w:t>anks</w:t>
      </w:r>
      <w:r w:rsidR="001E266F">
        <w:rPr>
          <w:rFonts w:ascii="Times New Roman" w:hAnsi="Times New Roman" w:cs="Times New Roman"/>
          <w:sz w:val="24"/>
          <w:szCs w:val="24"/>
        </w:rPr>
        <w:t>’</w:t>
      </w:r>
      <w:bookmarkStart w:id="2" w:name="_GoBack"/>
      <w:bookmarkEnd w:id="2"/>
      <w:r w:rsidRPr="00D14721">
        <w:rPr>
          <w:rFonts w:ascii="Times New Roman" w:hAnsi="Times New Roman" w:cs="Times New Roman"/>
          <w:sz w:val="24"/>
          <w:szCs w:val="24"/>
        </w:rPr>
        <w:t xml:space="preserve"> willingness and ability to </w:t>
      </w:r>
      <w:r w:rsidRPr="00FA555B">
        <w:rPr>
          <w:rFonts w:ascii="Times New Roman" w:hAnsi="Times New Roman" w:cs="Times New Roman"/>
          <w:b/>
          <w:bCs/>
          <w:sz w:val="24"/>
          <w:szCs w:val="24"/>
        </w:rPr>
        <w:t>lower rates in states of economic distress</w:t>
      </w:r>
      <w:r w:rsidRPr="00D14721">
        <w:rPr>
          <w:rFonts w:ascii="Times New Roman" w:hAnsi="Times New Roman" w:cs="Times New Roman"/>
          <w:sz w:val="24"/>
          <w:szCs w:val="24"/>
        </w:rPr>
        <w:t>.</w:t>
      </w:r>
    </w:p>
    <w:p w14:paraId="5C7AF483" w14:textId="2E03791F" w:rsidR="00D14721" w:rsidRPr="00D14721" w:rsidRDefault="00D14721" w:rsidP="00D14721">
      <w:pPr>
        <w:pStyle w:val="ListParagraph"/>
        <w:numPr>
          <w:ilvl w:val="0"/>
          <w:numId w:val="9"/>
        </w:numPr>
        <w:ind w:left="714" w:hanging="357"/>
        <w:jc w:val="both"/>
        <w:rPr>
          <w:rFonts w:ascii="Times New Roman" w:eastAsia="CMR10" w:hAnsi="Times New Roman" w:cs="Times New Roman"/>
          <w:sz w:val="24"/>
          <w:szCs w:val="24"/>
        </w:rPr>
      </w:pPr>
      <w:r w:rsidRPr="00D14721">
        <w:rPr>
          <w:rFonts w:ascii="Times New Roman" w:eastAsia="CMR10" w:hAnsi="Times New Roman" w:cs="Times New Roman"/>
          <w:sz w:val="24"/>
          <w:szCs w:val="24"/>
        </w:rPr>
        <w:t xml:space="preserve">Severe impact on equity valuation can be obtained with very plausible combinations of policies and physical outcomes; and there is considerably more downside than upside risk – </w:t>
      </w:r>
      <w:r w:rsidRPr="00FA555B">
        <w:rPr>
          <w:rFonts w:ascii="Times New Roman" w:eastAsia="CMR10" w:hAnsi="Times New Roman" w:cs="Times New Roman"/>
          <w:b/>
          <w:bCs/>
          <w:sz w:val="24"/>
          <w:szCs w:val="24"/>
        </w:rPr>
        <w:t>over 40% of global equity value is at risk unless decarbonisation efforts accelerate and losses could exceed 50% with near climate tipping points</w:t>
      </w:r>
      <w:r w:rsidRPr="00D14721">
        <w:rPr>
          <w:rFonts w:ascii="Times New Roman" w:eastAsia="CMR10" w:hAnsi="Times New Roman" w:cs="Times New Roman"/>
          <w:sz w:val="24"/>
          <w:szCs w:val="24"/>
        </w:rPr>
        <w:t>.</w:t>
      </w:r>
    </w:p>
    <w:p w14:paraId="74031C5B" w14:textId="77777777" w:rsidR="00D14721" w:rsidRDefault="00D14721" w:rsidP="00D14721">
      <w:pPr>
        <w:pStyle w:val="ListParagraph"/>
        <w:numPr>
          <w:ilvl w:val="0"/>
          <w:numId w:val="9"/>
        </w:numPr>
        <w:ind w:left="714" w:hanging="357"/>
        <w:jc w:val="both"/>
        <w:rPr>
          <w:rFonts w:ascii="Times New Roman" w:eastAsia="CMR10" w:hAnsi="Times New Roman" w:cs="Times New Roman"/>
          <w:sz w:val="24"/>
          <w:szCs w:val="24"/>
        </w:rPr>
      </w:pPr>
      <w:r w:rsidRPr="00FA555B">
        <w:rPr>
          <w:rFonts w:ascii="Times New Roman" w:eastAsia="CMR10" w:hAnsi="Times New Roman" w:cs="Times New Roman"/>
          <w:b/>
          <w:bCs/>
          <w:sz w:val="24"/>
          <w:szCs w:val="24"/>
        </w:rPr>
        <w:t>Prompt and robust abatement action is needed</w:t>
      </w:r>
      <w:r w:rsidRPr="00D14721">
        <w:rPr>
          <w:rFonts w:ascii="Times New Roman" w:eastAsia="CMR10" w:hAnsi="Times New Roman" w:cs="Times New Roman"/>
          <w:sz w:val="24"/>
          <w:szCs w:val="24"/>
        </w:rPr>
        <w:t xml:space="preserve"> to keep losses below 10%. </w:t>
      </w:r>
    </w:p>
    <w:p w14:paraId="4A5E0E80" w14:textId="3CD661AE" w:rsidR="00815A45" w:rsidRPr="00D14721" w:rsidRDefault="00630A23" w:rsidP="00815A45">
      <w:p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Methodolo</w:t>
      </w:r>
      <w:r w:rsidR="00F52A46">
        <w:rPr>
          <w:rFonts w:ascii="Times New Roman" w:hAnsi="Times New Roman" w:cs="Times New Roman"/>
          <w:sz w:val="24"/>
          <w:szCs w:val="24"/>
        </w:rPr>
        <w:t>gical Innovations</w:t>
      </w:r>
      <w:r w:rsidR="00634CA5">
        <w:rPr>
          <w:rFonts w:ascii="Times New Roman" w:hAnsi="Times New Roman" w:cs="Times New Roman"/>
          <w:sz w:val="24"/>
          <w:szCs w:val="24"/>
        </w:rPr>
        <w:t>:</w:t>
      </w:r>
    </w:p>
    <w:p w14:paraId="11B707E0" w14:textId="51F88C3C" w:rsidR="00815A45" w:rsidRPr="00D14721" w:rsidRDefault="00697F8E" w:rsidP="00C04EDD">
      <w:pPr>
        <w:pStyle w:val="ListParagraph"/>
        <w:numPr>
          <w:ilvl w:val="0"/>
          <w:numId w:val="8"/>
        </w:numPr>
        <w:spacing w:line="256" w:lineRule="auto"/>
        <w:jc w:val="both"/>
        <w:rPr>
          <w:rFonts w:ascii="Times New Roman" w:hAnsi="Times New Roman" w:cs="Times New Roman"/>
          <w:sz w:val="24"/>
          <w:szCs w:val="24"/>
        </w:rPr>
      </w:pPr>
      <w:r w:rsidRPr="00D14721">
        <w:rPr>
          <w:rFonts w:ascii="Times New Roman" w:hAnsi="Times New Roman" w:cs="Times New Roman"/>
          <w:b/>
          <w:bCs/>
          <w:sz w:val="24"/>
          <w:szCs w:val="24"/>
        </w:rPr>
        <w:t>Fully Probabilistic Approach</w:t>
      </w:r>
      <w:r w:rsidRPr="00D14721">
        <w:rPr>
          <w:rFonts w:ascii="Times New Roman" w:hAnsi="Times New Roman" w:cs="Times New Roman"/>
          <w:sz w:val="24"/>
          <w:szCs w:val="24"/>
        </w:rPr>
        <w:t xml:space="preserve">: </w:t>
      </w:r>
      <w:r w:rsidR="00B54C51" w:rsidRPr="00D14721">
        <w:rPr>
          <w:rFonts w:ascii="Times New Roman" w:hAnsi="Times New Roman" w:cs="Times New Roman"/>
          <w:sz w:val="24"/>
          <w:szCs w:val="24"/>
        </w:rPr>
        <w:t>incorporating</w:t>
      </w:r>
      <w:r w:rsidRPr="00D14721">
        <w:rPr>
          <w:rFonts w:ascii="Times New Roman" w:hAnsi="Times New Roman" w:cs="Times New Roman"/>
          <w:sz w:val="24"/>
          <w:szCs w:val="24"/>
        </w:rPr>
        <w:t xml:space="preserve"> climate </w:t>
      </w:r>
      <w:r w:rsidR="00815A45" w:rsidRPr="00D14721">
        <w:rPr>
          <w:rFonts w:ascii="Times New Roman" w:hAnsi="Times New Roman" w:cs="Times New Roman"/>
          <w:sz w:val="24"/>
          <w:szCs w:val="24"/>
        </w:rPr>
        <w:t xml:space="preserve">and economic </w:t>
      </w:r>
      <w:r w:rsidRPr="00D14721">
        <w:rPr>
          <w:rFonts w:ascii="Times New Roman" w:hAnsi="Times New Roman" w:cs="Times New Roman"/>
          <w:sz w:val="24"/>
          <w:szCs w:val="24"/>
        </w:rPr>
        <w:t>uncertainties into a probabilistic framework</w:t>
      </w:r>
      <w:r w:rsidR="00815A45" w:rsidRPr="00D14721">
        <w:rPr>
          <w:rFonts w:ascii="Times New Roman" w:hAnsi="Times New Roman" w:cs="Times New Roman"/>
          <w:sz w:val="24"/>
          <w:szCs w:val="24"/>
        </w:rPr>
        <w:t xml:space="preserve"> for </w:t>
      </w:r>
      <w:r w:rsidRPr="00D14721">
        <w:rPr>
          <w:rFonts w:ascii="Times New Roman" w:hAnsi="Times New Roman" w:cs="Times New Roman"/>
          <w:sz w:val="24"/>
          <w:szCs w:val="24"/>
        </w:rPr>
        <w:t>a more realistic and comprehensive evaluation of potential outcomes</w:t>
      </w:r>
      <w:r w:rsidR="00C44504" w:rsidRPr="00D14721">
        <w:rPr>
          <w:rFonts w:ascii="Times New Roman" w:hAnsi="Times New Roman" w:cs="Times New Roman"/>
          <w:sz w:val="24"/>
          <w:szCs w:val="24"/>
        </w:rPr>
        <w:t>.</w:t>
      </w:r>
    </w:p>
    <w:p w14:paraId="61EBA1D9" w14:textId="09244E6D" w:rsidR="00697F8E" w:rsidRPr="00D14721" w:rsidRDefault="00697F8E" w:rsidP="00C04EDD">
      <w:pPr>
        <w:pStyle w:val="ListParagraph"/>
        <w:numPr>
          <w:ilvl w:val="0"/>
          <w:numId w:val="8"/>
        </w:numPr>
        <w:spacing w:line="256" w:lineRule="auto"/>
        <w:jc w:val="both"/>
        <w:rPr>
          <w:rFonts w:ascii="Times New Roman" w:hAnsi="Times New Roman" w:cs="Times New Roman"/>
          <w:sz w:val="24"/>
          <w:szCs w:val="24"/>
        </w:rPr>
      </w:pPr>
      <w:r w:rsidRPr="00D14721">
        <w:rPr>
          <w:rFonts w:ascii="Times New Roman" w:hAnsi="Times New Roman" w:cs="Times New Roman"/>
          <w:b/>
          <w:bCs/>
          <w:sz w:val="24"/>
          <w:szCs w:val="24"/>
        </w:rPr>
        <w:t>State-Dependent Discounting:</w:t>
      </w:r>
      <w:r w:rsidR="00815A45" w:rsidRPr="00D14721">
        <w:rPr>
          <w:rFonts w:ascii="Times New Roman" w:hAnsi="Times New Roman" w:cs="Times New Roman"/>
          <w:sz w:val="24"/>
          <w:szCs w:val="24"/>
        </w:rPr>
        <w:t xml:space="preserve"> </w:t>
      </w:r>
      <w:r w:rsidR="00B54C51" w:rsidRPr="00D14721">
        <w:rPr>
          <w:rFonts w:ascii="Times New Roman" w:hAnsi="Times New Roman" w:cs="Times New Roman"/>
          <w:sz w:val="24"/>
          <w:szCs w:val="24"/>
        </w:rPr>
        <w:t xml:space="preserve">recognising </w:t>
      </w:r>
      <w:r w:rsidRPr="00D14721">
        <w:rPr>
          <w:rFonts w:ascii="Times New Roman" w:hAnsi="Times New Roman" w:cs="Times New Roman"/>
          <w:sz w:val="24"/>
          <w:szCs w:val="24"/>
        </w:rPr>
        <w:t xml:space="preserve">that </w:t>
      </w:r>
      <w:r w:rsidR="00815A45" w:rsidRPr="00D14721">
        <w:rPr>
          <w:rFonts w:ascii="Times New Roman" w:hAnsi="Times New Roman" w:cs="Times New Roman"/>
          <w:sz w:val="24"/>
          <w:szCs w:val="24"/>
        </w:rPr>
        <w:t>physical</w:t>
      </w:r>
      <w:r w:rsidRPr="00D14721">
        <w:rPr>
          <w:rFonts w:ascii="Times New Roman" w:hAnsi="Times New Roman" w:cs="Times New Roman"/>
          <w:sz w:val="24"/>
          <w:szCs w:val="24"/>
        </w:rPr>
        <w:t xml:space="preserve"> damages</w:t>
      </w:r>
      <w:r w:rsidR="00815A45" w:rsidRPr="00D14721">
        <w:rPr>
          <w:rFonts w:ascii="Times New Roman" w:hAnsi="Times New Roman" w:cs="Times New Roman"/>
          <w:sz w:val="24"/>
          <w:szCs w:val="24"/>
        </w:rPr>
        <w:t xml:space="preserve"> from climate change</w:t>
      </w:r>
      <w:r w:rsidRPr="00D14721">
        <w:rPr>
          <w:rFonts w:ascii="Times New Roman" w:hAnsi="Times New Roman" w:cs="Times New Roman"/>
          <w:sz w:val="24"/>
          <w:szCs w:val="24"/>
        </w:rPr>
        <w:t xml:space="preserve"> </w:t>
      </w:r>
      <w:r w:rsidR="00815A45" w:rsidRPr="00D14721">
        <w:rPr>
          <w:rFonts w:ascii="Times New Roman" w:hAnsi="Times New Roman" w:cs="Times New Roman"/>
          <w:sz w:val="24"/>
          <w:szCs w:val="24"/>
        </w:rPr>
        <w:t xml:space="preserve">impair </w:t>
      </w:r>
      <w:r w:rsidRPr="00D14721">
        <w:rPr>
          <w:rFonts w:ascii="Times New Roman" w:hAnsi="Times New Roman" w:cs="Times New Roman"/>
          <w:sz w:val="24"/>
          <w:szCs w:val="24"/>
        </w:rPr>
        <w:t>cashflows in a state-dependent manner</w:t>
      </w:r>
      <w:r w:rsidR="00815A45" w:rsidRPr="00D14721">
        <w:rPr>
          <w:rFonts w:ascii="Times New Roman" w:hAnsi="Times New Roman" w:cs="Times New Roman"/>
          <w:sz w:val="24"/>
          <w:szCs w:val="24"/>
        </w:rPr>
        <w:t xml:space="preserve"> and allow</w:t>
      </w:r>
      <w:r w:rsidR="00B54C51" w:rsidRPr="00D14721">
        <w:rPr>
          <w:rFonts w:ascii="Times New Roman" w:hAnsi="Times New Roman" w:cs="Times New Roman"/>
          <w:sz w:val="24"/>
          <w:szCs w:val="24"/>
        </w:rPr>
        <w:t>ing</w:t>
      </w:r>
      <w:r w:rsidR="00815A45" w:rsidRPr="00D14721">
        <w:rPr>
          <w:rFonts w:ascii="Times New Roman" w:hAnsi="Times New Roman" w:cs="Times New Roman"/>
          <w:sz w:val="24"/>
          <w:szCs w:val="24"/>
        </w:rPr>
        <w:t xml:space="preserve"> </w:t>
      </w:r>
      <w:r w:rsidRPr="00D14721">
        <w:rPr>
          <w:rFonts w:ascii="Times New Roman" w:hAnsi="Times New Roman" w:cs="Times New Roman"/>
          <w:sz w:val="24"/>
          <w:szCs w:val="24"/>
        </w:rPr>
        <w:t xml:space="preserve">discount factors </w:t>
      </w:r>
      <w:r w:rsidR="00815A45" w:rsidRPr="00D14721">
        <w:rPr>
          <w:rFonts w:ascii="Times New Roman" w:hAnsi="Times New Roman" w:cs="Times New Roman"/>
          <w:sz w:val="24"/>
          <w:szCs w:val="24"/>
        </w:rPr>
        <w:t>to</w:t>
      </w:r>
      <w:r w:rsidRPr="00D14721">
        <w:rPr>
          <w:rFonts w:ascii="Times New Roman" w:hAnsi="Times New Roman" w:cs="Times New Roman"/>
          <w:sz w:val="24"/>
          <w:szCs w:val="24"/>
        </w:rPr>
        <w:t xml:space="preserve"> </w:t>
      </w:r>
      <w:r w:rsidR="00815A45" w:rsidRPr="00D14721">
        <w:rPr>
          <w:rFonts w:ascii="Times New Roman" w:hAnsi="Times New Roman" w:cs="Times New Roman"/>
          <w:sz w:val="24"/>
          <w:szCs w:val="24"/>
        </w:rPr>
        <w:t>be determined by</w:t>
      </w:r>
      <w:r w:rsidRPr="00D14721">
        <w:rPr>
          <w:rFonts w:ascii="Times New Roman" w:hAnsi="Times New Roman" w:cs="Times New Roman"/>
          <w:sz w:val="24"/>
          <w:szCs w:val="24"/>
        </w:rPr>
        <w:t xml:space="preserve"> economic conditions</w:t>
      </w:r>
      <w:r w:rsidR="00C44504" w:rsidRPr="00D14721">
        <w:rPr>
          <w:rFonts w:ascii="Times New Roman" w:hAnsi="Times New Roman" w:cs="Times New Roman"/>
          <w:sz w:val="24"/>
          <w:szCs w:val="24"/>
        </w:rPr>
        <w:t xml:space="preserve"> and damages, which highlights the neglected role of state-dependent discounting.</w:t>
      </w:r>
    </w:p>
    <w:p w14:paraId="27ACF61F" w14:textId="6B47A79F" w:rsidR="00697F8E" w:rsidRPr="00D14721" w:rsidRDefault="00697F8E" w:rsidP="00C04EDD">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sidRPr="00D14721">
        <w:rPr>
          <w:rFonts w:ascii="Times New Roman" w:hAnsi="Times New Roman" w:cs="Times New Roman"/>
          <w:b/>
          <w:bCs/>
          <w:sz w:val="24"/>
          <w:szCs w:val="24"/>
        </w:rPr>
        <w:t xml:space="preserve">Joint Analysis of </w:t>
      </w:r>
      <w:r w:rsidR="00C44504" w:rsidRPr="00D14721">
        <w:rPr>
          <w:rFonts w:ascii="Times New Roman" w:hAnsi="Times New Roman" w:cs="Times New Roman"/>
          <w:b/>
          <w:bCs/>
          <w:sz w:val="24"/>
          <w:szCs w:val="24"/>
        </w:rPr>
        <w:t xml:space="preserve">Transition Costs and </w:t>
      </w:r>
      <w:r w:rsidRPr="00D14721">
        <w:rPr>
          <w:rFonts w:ascii="Times New Roman" w:hAnsi="Times New Roman" w:cs="Times New Roman"/>
          <w:b/>
          <w:bCs/>
          <w:sz w:val="24"/>
          <w:szCs w:val="24"/>
        </w:rPr>
        <w:t>Physical Risks:</w:t>
      </w:r>
      <w:r w:rsidRPr="00D14721">
        <w:rPr>
          <w:rFonts w:ascii="Times New Roman" w:hAnsi="Times New Roman" w:cs="Times New Roman"/>
          <w:sz w:val="24"/>
          <w:szCs w:val="24"/>
        </w:rPr>
        <w:t xml:space="preserve"> </w:t>
      </w:r>
      <w:r w:rsidR="00C44504" w:rsidRPr="00D14721">
        <w:rPr>
          <w:rFonts w:ascii="Times New Roman" w:hAnsi="Times New Roman" w:cs="Times New Roman"/>
          <w:sz w:val="24"/>
          <w:szCs w:val="24"/>
        </w:rPr>
        <w:t>upgrad</w:t>
      </w:r>
      <w:r w:rsidR="00B54C51" w:rsidRPr="00D14721">
        <w:rPr>
          <w:rFonts w:ascii="Times New Roman" w:hAnsi="Times New Roman" w:cs="Times New Roman"/>
          <w:sz w:val="24"/>
          <w:szCs w:val="24"/>
        </w:rPr>
        <w:t>ing</w:t>
      </w:r>
      <w:r w:rsidR="00C44504" w:rsidRPr="00D14721">
        <w:rPr>
          <w:rFonts w:ascii="Times New Roman" w:hAnsi="Times New Roman" w:cs="Times New Roman"/>
          <w:sz w:val="24"/>
          <w:szCs w:val="24"/>
        </w:rPr>
        <w:t xml:space="preserve"> a popular integrated climate economics assessment model to estimate the effect of transition costs</w:t>
      </w:r>
      <w:r w:rsidR="0005391F" w:rsidRPr="00D14721">
        <w:rPr>
          <w:rFonts w:ascii="Times New Roman" w:hAnsi="Times New Roman" w:cs="Times New Roman"/>
          <w:sz w:val="24"/>
          <w:szCs w:val="24"/>
        </w:rPr>
        <w:t xml:space="preserve"> (associated with regulatory measures to curb greenhouse gas emissions)</w:t>
      </w:r>
      <w:r w:rsidR="00C44504" w:rsidRPr="00D14721">
        <w:rPr>
          <w:rFonts w:ascii="Times New Roman" w:hAnsi="Times New Roman" w:cs="Times New Roman"/>
          <w:sz w:val="24"/>
          <w:szCs w:val="24"/>
        </w:rPr>
        <w:t xml:space="preserve"> and physical damages</w:t>
      </w:r>
      <w:r w:rsidR="0005391F" w:rsidRPr="00D14721">
        <w:rPr>
          <w:rFonts w:ascii="Times New Roman" w:hAnsi="Times New Roman" w:cs="Times New Roman"/>
          <w:sz w:val="24"/>
          <w:szCs w:val="24"/>
        </w:rPr>
        <w:t xml:space="preserve"> on the value of global equity stock, </w:t>
      </w:r>
      <w:r w:rsidRPr="00D14721">
        <w:rPr>
          <w:rFonts w:ascii="Times New Roman" w:hAnsi="Times New Roman" w:cs="Times New Roman"/>
          <w:sz w:val="24"/>
          <w:szCs w:val="24"/>
        </w:rPr>
        <w:t xml:space="preserve">providing a </w:t>
      </w:r>
      <w:r w:rsidR="00644838">
        <w:rPr>
          <w:rFonts w:ascii="Times New Roman" w:hAnsi="Times New Roman" w:cs="Times New Roman"/>
          <w:sz w:val="24"/>
          <w:szCs w:val="24"/>
        </w:rPr>
        <w:t>unified</w:t>
      </w:r>
      <w:r w:rsidR="00644838" w:rsidRPr="00D14721">
        <w:rPr>
          <w:rFonts w:ascii="Times New Roman" w:hAnsi="Times New Roman" w:cs="Times New Roman"/>
          <w:sz w:val="24"/>
          <w:szCs w:val="24"/>
        </w:rPr>
        <w:t xml:space="preserve"> </w:t>
      </w:r>
      <w:r w:rsidRPr="00D14721">
        <w:rPr>
          <w:rFonts w:ascii="Times New Roman" w:hAnsi="Times New Roman" w:cs="Times New Roman"/>
          <w:sz w:val="24"/>
          <w:szCs w:val="24"/>
        </w:rPr>
        <w:t>view of climate-related financial risks.</w:t>
      </w:r>
    </w:p>
    <w:p w14:paraId="79EB9B63" w14:textId="25BCFD2A" w:rsidR="00B54C51" w:rsidRPr="00D14721" w:rsidRDefault="00DD4799" w:rsidP="00C04EDD">
      <w:pPr>
        <w:autoSpaceDE w:val="0"/>
        <w:autoSpaceDN w:val="0"/>
        <w:adjustRightInd w:val="0"/>
        <w:spacing w:after="0" w:line="240" w:lineRule="auto"/>
        <w:jc w:val="both"/>
        <w:rPr>
          <w:rFonts w:ascii="Times New Roman" w:hAnsi="Times New Roman" w:cs="Times New Roman"/>
          <w:sz w:val="24"/>
          <w:szCs w:val="24"/>
        </w:rPr>
      </w:pPr>
      <w:r w:rsidRPr="00D14721">
        <w:rPr>
          <w:rFonts w:ascii="Times New Roman" w:hAnsi="Times New Roman" w:cs="Times New Roman"/>
          <w:b/>
          <w:bCs/>
          <w:sz w:val="24"/>
          <w:szCs w:val="24"/>
        </w:rPr>
        <w:t xml:space="preserve">Frédéric Ducoulombier, </w:t>
      </w:r>
      <w:r w:rsidR="00EA2C4C" w:rsidRPr="00D14721">
        <w:rPr>
          <w:rFonts w:ascii="Times New Roman" w:hAnsi="Times New Roman" w:cs="Times New Roman"/>
          <w:b/>
          <w:bCs/>
          <w:sz w:val="24"/>
          <w:szCs w:val="24"/>
        </w:rPr>
        <w:t>Director of EDHEC-Risk Climate Impact Institute</w:t>
      </w:r>
      <w:r w:rsidR="00EA2C4C" w:rsidRPr="00D14721">
        <w:rPr>
          <w:rFonts w:ascii="Times New Roman" w:hAnsi="Times New Roman" w:cs="Times New Roman"/>
          <w:sz w:val="24"/>
          <w:szCs w:val="24"/>
        </w:rPr>
        <w:t xml:space="preserve"> s</w:t>
      </w:r>
      <w:r w:rsidRPr="00D14721">
        <w:rPr>
          <w:rFonts w:ascii="Times New Roman" w:hAnsi="Times New Roman" w:cs="Times New Roman"/>
          <w:sz w:val="24"/>
          <w:szCs w:val="24"/>
        </w:rPr>
        <w:t>tate</w:t>
      </w:r>
      <w:r w:rsidR="00EA2C4C" w:rsidRPr="00D14721">
        <w:rPr>
          <w:rFonts w:ascii="Times New Roman" w:hAnsi="Times New Roman" w:cs="Times New Roman"/>
          <w:sz w:val="24"/>
          <w:szCs w:val="24"/>
        </w:rPr>
        <w:t xml:space="preserve">s: </w:t>
      </w:r>
    </w:p>
    <w:p w14:paraId="27AB80C6" w14:textId="243E0251" w:rsidR="000B7512" w:rsidRPr="00D14721" w:rsidRDefault="00EA2C4C" w:rsidP="00C04EDD">
      <w:pPr>
        <w:autoSpaceDE w:val="0"/>
        <w:autoSpaceDN w:val="0"/>
        <w:adjustRightInd w:val="0"/>
        <w:spacing w:after="0" w:line="240" w:lineRule="auto"/>
        <w:jc w:val="both"/>
        <w:rPr>
          <w:rFonts w:ascii="Times New Roman" w:hAnsi="Times New Roman" w:cs="Times New Roman"/>
          <w:sz w:val="24"/>
          <w:szCs w:val="24"/>
        </w:rPr>
      </w:pPr>
      <w:r w:rsidRPr="00D14721">
        <w:rPr>
          <w:rFonts w:ascii="Times New Roman" w:hAnsi="Times New Roman" w:cs="Times New Roman"/>
          <w:sz w:val="24"/>
          <w:szCs w:val="24"/>
        </w:rPr>
        <w:t>“</w:t>
      </w:r>
      <w:r w:rsidR="00A6111D" w:rsidRPr="00D14721">
        <w:rPr>
          <w:rFonts w:ascii="Times New Roman" w:hAnsi="Times New Roman" w:cs="Times New Roman"/>
          <w:sz w:val="24"/>
          <w:szCs w:val="24"/>
        </w:rPr>
        <w:t>The</w:t>
      </w:r>
      <w:r w:rsidR="000B7512" w:rsidRPr="00D14721">
        <w:rPr>
          <w:rFonts w:ascii="Times New Roman" w:hAnsi="Times New Roman" w:cs="Times New Roman"/>
          <w:sz w:val="24"/>
          <w:szCs w:val="24"/>
        </w:rPr>
        <w:t xml:space="preserve"> research</w:t>
      </w:r>
      <w:r w:rsidR="000C35C9" w:rsidRPr="00D14721">
        <w:rPr>
          <w:rFonts w:ascii="Times New Roman" w:hAnsi="Times New Roman" w:cs="Times New Roman"/>
          <w:sz w:val="24"/>
          <w:szCs w:val="24"/>
        </w:rPr>
        <w:t xml:space="preserve"> team </w:t>
      </w:r>
      <w:r w:rsidR="00A6111D" w:rsidRPr="00D14721">
        <w:rPr>
          <w:rFonts w:ascii="Times New Roman" w:hAnsi="Times New Roman" w:cs="Times New Roman"/>
          <w:sz w:val="24"/>
          <w:szCs w:val="24"/>
        </w:rPr>
        <w:t xml:space="preserve">led by </w:t>
      </w:r>
      <w:r w:rsidR="000C35C9" w:rsidRPr="00D14721">
        <w:rPr>
          <w:rFonts w:ascii="Times New Roman" w:hAnsi="Times New Roman" w:cs="Times New Roman"/>
          <w:sz w:val="24"/>
          <w:szCs w:val="24"/>
        </w:rPr>
        <w:t>Professor Rebonato has</w:t>
      </w:r>
      <w:r w:rsidR="000B7512" w:rsidRPr="00D14721">
        <w:rPr>
          <w:rFonts w:ascii="Times New Roman" w:hAnsi="Times New Roman" w:cs="Times New Roman"/>
          <w:sz w:val="24"/>
          <w:szCs w:val="24"/>
        </w:rPr>
        <w:t xml:space="preserve"> upgrade</w:t>
      </w:r>
      <w:r w:rsidR="000C35C9" w:rsidRPr="00D14721">
        <w:rPr>
          <w:rFonts w:ascii="Times New Roman" w:hAnsi="Times New Roman" w:cs="Times New Roman"/>
          <w:sz w:val="24"/>
          <w:szCs w:val="24"/>
        </w:rPr>
        <w:t>d</w:t>
      </w:r>
      <w:r w:rsidR="000B7512" w:rsidRPr="00D14721">
        <w:rPr>
          <w:rFonts w:ascii="Times New Roman" w:hAnsi="Times New Roman" w:cs="Times New Roman"/>
          <w:sz w:val="24"/>
          <w:szCs w:val="24"/>
        </w:rPr>
        <w:t xml:space="preserve"> mainstream integrated assessment models to incorporate the progress of climate science and make the</w:t>
      </w:r>
      <w:r w:rsidR="000C35C9" w:rsidRPr="00D14721">
        <w:rPr>
          <w:rFonts w:ascii="Times New Roman" w:hAnsi="Times New Roman" w:cs="Times New Roman"/>
          <w:sz w:val="24"/>
          <w:szCs w:val="24"/>
        </w:rPr>
        <w:t>m</w:t>
      </w:r>
      <w:r w:rsidR="000B7512" w:rsidRPr="00D14721">
        <w:rPr>
          <w:rFonts w:ascii="Times New Roman" w:hAnsi="Times New Roman" w:cs="Times New Roman"/>
          <w:sz w:val="24"/>
          <w:szCs w:val="24"/>
        </w:rPr>
        <w:t xml:space="preserve"> fit for financial applications.</w:t>
      </w:r>
      <w:r w:rsidR="000C35C9" w:rsidRPr="00D14721">
        <w:rPr>
          <w:rFonts w:ascii="Times New Roman" w:hAnsi="Times New Roman" w:cs="Times New Roman"/>
          <w:sz w:val="24"/>
          <w:szCs w:val="24"/>
        </w:rPr>
        <w:t xml:space="preserve"> By modelling </w:t>
      </w:r>
      <w:r w:rsidR="000B7512" w:rsidRPr="00D14721">
        <w:rPr>
          <w:rFonts w:ascii="Times New Roman" w:hAnsi="Times New Roman" w:cs="Times New Roman"/>
          <w:sz w:val="24"/>
          <w:szCs w:val="24"/>
        </w:rPr>
        <w:t>the considerable uncertainty in the physic</w:t>
      </w:r>
      <w:r w:rsidR="000C35C9" w:rsidRPr="00D14721">
        <w:rPr>
          <w:rFonts w:ascii="Times New Roman" w:hAnsi="Times New Roman" w:cs="Times New Roman"/>
          <w:sz w:val="24"/>
          <w:szCs w:val="24"/>
        </w:rPr>
        <w:t xml:space="preserve">al and </w:t>
      </w:r>
      <w:r w:rsidR="000B7512" w:rsidRPr="00D14721">
        <w:rPr>
          <w:rFonts w:ascii="Times New Roman" w:hAnsi="Times New Roman" w:cs="Times New Roman"/>
          <w:sz w:val="24"/>
          <w:szCs w:val="24"/>
        </w:rPr>
        <w:t>economical</w:t>
      </w:r>
      <w:r w:rsidR="000C35C9" w:rsidRPr="00D14721">
        <w:rPr>
          <w:rFonts w:ascii="Times New Roman" w:hAnsi="Times New Roman" w:cs="Times New Roman"/>
          <w:sz w:val="24"/>
          <w:szCs w:val="24"/>
        </w:rPr>
        <w:t xml:space="preserve"> dimensions of climate change and linking it to top-down equity valuation, this study </w:t>
      </w:r>
      <w:r w:rsidR="00A6111D" w:rsidRPr="00D14721">
        <w:rPr>
          <w:rFonts w:ascii="Times New Roman" w:hAnsi="Times New Roman" w:cs="Times New Roman"/>
          <w:sz w:val="24"/>
          <w:szCs w:val="24"/>
        </w:rPr>
        <w:t>debunks the notion that the value of financial assets may be immune to climate changes and provides additional support for bold climate action.”</w:t>
      </w:r>
    </w:p>
    <w:p w14:paraId="761966F2" w14:textId="77777777" w:rsidR="000B7512" w:rsidRPr="00D14721" w:rsidRDefault="000B7512" w:rsidP="00C04EDD">
      <w:pPr>
        <w:autoSpaceDE w:val="0"/>
        <w:autoSpaceDN w:val="0"/>
        <w:adjustRightInd w:val="0"/>
        <w:spacing w:after="0" w:line="240" w:lineRule="auto"/>
        <w:jc w:val="both"/>
        <w:rPr>
          <w:rFonts w:ascii="Times New Roman" w:hAnsi="Times New Roman" w:cs="Times New Roman"/>
          <w:sz w:val="24"/>
          <w:szCs w:val="24"/>
        </w:rPr>
      </w:pPr>
    </w:p>
    <w:p w14:paraId="3048AD2A" w14:textId="77777777" w:rsidR="00B54C51" w:rsidRPr="00D14721" w:rsidRDefault="00A6111D" w:rsidP="00C04EDD">
      <w:pPr>
        <w:autoSpaceDE w:val="0"/>
        <w:autoSpaceDN w:val="0"/>
        <w:adjustRightInd w:val="0"/>
        <w:spacing w:after="0" w:line="240" w:lineRule="auto"/>
        <w:jc w:val="both"/>
        <w:rPr>
          <w:rFonts w:ascii="Times New Roman" w:hAnsi="Times New Roman" w:cs="Times New Roman"/>
          <w:sz w:val="24"/>
          <w:szCs w:val="24"/>
        </w:rPr>
      </w:pPr>
      <w:r w:rsidRPr="00D14721">
        <w:rPr>
          <w:rFonts w:ascii="Times New Roman" w:hAnsi="Times New Roman" w:cs="Times New Roman"/>
          <w:b/>
          <w:bCs/>
          <w:sz w:val="24"/>
          <w:szCs w:val="24"/>
        </w:rPr>
        <w:t>Professor Ricardo Rebonato, Scientific Director of EDHEC-Risk Climate Impact Institute</w:t>
      </w:r>
      <w:r w:rsidR="00DD4799" w:rsidRPr="00D14721">
        <w:rPr>
          <w:rFonts w:ascii="Times New Roman" w:hAnsi="Times New Roman" w:cs="Times New Roman"/>
          <w:sz w:val="24"/>
          <w:szCs w:val="24"/>
        </w:rPr>
        <w:t>,</w:t>
      </w:r>
      <w:r w:rsidRPr="00D14721">
        <w:rPr>
          <w:rFonts w:ascii="Times New Roman" w:hAnsi="Times New Roman" w:cs="Times New Roman"/>
          <w:sz w:val="24"/>
          <w:szCs w:val="24"/>
        </w:rPr>
        <w:t xml:space="preserve"> </w:t>
      </w:r>
      <w:r w:rsidR="00DD4799" w:rsidRPr="00D14721">
        <w:rPr>
          <w:rFonts w:ascii="Times New Roman" w:hAnsi="Times New Roman" w:cs="Times New Roman"/>
          <w:sz w:val="24"/>
          <w:szCs w:val="24"/>
        </w:rPr>
        <w:t>adds</w:t>
      </w:r>
      <w:r w:rsidRPr="00D14721">
        <w:rPr>
          <w:rFonts w:ascii="Times New Roman" w:hAnsi="Times New Roman" w:cs="Times New Roman"/>
          <w:sz w:val="24"/>
          <w:szCs w:val="24"/>
        </w:rPr>
        <w:t>:</w:t>
      </w:r>
    </w:p>
    <w:p w14:paraId="17187278" w14:textId="5E490567" w:rsidR="00DD4799" w:rsidRPr="00D14721" w:rsidRDefault="00A6111D" w:rsidP="00C04EDD">
      <w:pPr>
        <w:autoSpaceDE w:val="0"/>
        <w:autoSpaceDN w:val="0"/>
        <w:adjustRightInd w:val="0"/>
        <w:spacing w:after="0" w:line="240" w:lineRule="auto"/>
        <w:jc w:val="both"/>
        <w:rPr>
          <w:rFonts w:ascii="Times New Roman" w:hAnsi="Times New Roman" w:cs="Times New Roman"/>
          <w:sz w:val="24"/>
          <w:szCs w:val="24"/>
        </w:rPr>
      </w:pPr>
      <w:r w:rsidRPr="00D14721">
        <w:rPr>
          <w:rFonts w:ascii="Times New Roman" w:hAnsi="Times New Roman" w:cs="Times New Roman"/>
          <w:sz w:val="24"/>
          <w:szCs w:val="24"/>
        </w:rPr>
        <w:t>“</w:t>
      </w:r>
      <w:r w:rsidR="00A547BE" w:rsidRPr="00D14721">
        <w:rPr>
          <w:rFonts w:ascii="Times New Roman" w:hAnsi="Times New Roman" w:cs="Times New Roman"/>
          <w:sz w:val="24"/>
          <w:szCs w:val="24"/>
        </w:rPr>
        <w:t xml:space="preserve">These results–obtained with mild assumptions–underline the importance of uncertainty and state-dependent discounting for climate-aware equity valuation.  </w:t>
      </w:r>
      <w:r w:rsidR="00DD4799" w:rsidRPr="00D14721">
        <w:rPr>
          <w:rFonts w:ascii="Times New Roman" w:hAnsi="Times New Roman" w:cs="Times New Roman"/>
          <w:sz w:val="24"/>
          <w:szCs w:val="24"/>
        </w:rPr>
        <w:t xml:space="preserve">Our approach shows that it is possible and fruitful to integrate climate risks into financial analysis and we will be working further to develop </w:t>
      </w:r>
      <w:r w:rsidR="00DD4799" w:rsidRPr="00D14721">
        <w:rPr>
          <w:rFonts w:ascii="Times New Roman" w:eastAsia="CMR10" w:hAnsi="Times New Roman" w:cs="Times New Roman"/>
          <w:sz w:val="24"/>
          <w:szCs w:val="24"/>
        </w:rPr>
        <w:t>theoretically solid and practically implementable tools for climate-aware investment management.”</w:t>
      </w:r>
    </w:p>
    <w:bookmarkEnd w:id="1"/>
    <w:p w14:paraId="6B9DFD62" w14:textId="77777777" w:rsidR="002C08F4" w:rsidRPr="00D14721" w:rsidRDefault="002C08F4" w:rsidP="00423A94">
      <w:pPr>
        <w:spacing w:after="0" w:line="240" w:lineRule="auto"/>
        <w:jc w:val="both"/>
        <w:rPr>
          <w:rFonts w:ascii="Times New Roman" w:hAnsi="Times New Roman" w:cs="Times New Roman"/>
          <w:b/>
          <w:bCs/>
          <w:sz w:val="24"/>
          <w:szCs w:val="24"/>
        </w:rPr>
      </w:pPr>
    </w:p>
    <w:p w14:paraId="0F187C4C" w14:textId="6741E5D9" w:rsidR="00423A94" w:rsidRPr="00D14721" w:rsidRDefault="00423A94" w:rsidP="00423A94">
      <w:pPr>
        <w:spacing w:after="0" w:line="240" w:lineRule="auto"/>
        <w:jc w:val="both"/>
        <w:rPr>
          <w:rFonts w:ascii="Times New Roman" w:hAnsi="Times New Roman" w:cs="Times New Roman"/>
          <w:sz w:val="24"/>
          <w:szCs w:val="24"/>
        </w:rPr>
      </w:pPr>
      <w:r w:rsidRPr="00D14721">
        <w:rPr>
          <w:rFonts w:ascii="Times New Roman" w:hAnsi="Times New Roman" w:cs="Times New Roman"/>
          <w:sz w:val="24"/>
          <w:szCs w:val="24"/>
        </w:rPr>
        <w:t xml:space="preserve">Download the full paper here: </w:t>
      </w:r>
    </w:p>
    <w:p w14:paraId="53FF877F" w14:textId="0B355BFB" w:rsidR="000B1974" w:rsidRDefault="001E266F">
      <w:pPr>
        <w:rPr>
          <w:rStyle w:val="Hyperlink"/>
          <w:rFonts w:ascii="Times New Roman" w:hAnsi="Times New Roman" w:cs="Times New Roman"/>
          <w:sz w:val="24"/>
          <w:szCs w:val="24"/>
        </w:rPr>
      </w:pPr>
      <w:hyperlink r:id="rId11" w:history="1">
        <w:r w:rsidR="00486CF2" w:rsidRPr="003F52FD">
          <w:rPr>
            <w:rStyle w:val="Hyperlink"/>
            <w:rFonts w:ascii="Times New Roman" w:hAnsi="Times New Roman" w:cs="Times New Roman"/>
            <w:sz w:val="24"/>
            <w:szCs w:val="24"/>
          </w:rPr>
          <w:t>How Does Climate Risk Affect Global Equity Valuations? A Novel Approach</w:t>
        </w:r>
      </w:hyperlink>
    </w:p>
    <w:p w14:paraId="34DE965B" w14:textId="59B441BB" w:rsidR="000B1974" w:rsidRPr="00D14721" w:rsidRDefault="003902AF" w:rsidP="000B1974">
      <w:pPr>
        <w:tabs>
          <w:tab w:val="left" w:pos="3240"/>
        </w:tabs>
        <w:spacing w:line="280" w:lineRule="atLeast"/>
        <w:jc w:val="both"/>
        <w:rPr>
          <w:rFonts w:ascii="Times New Roman" w:hAnsi="Times New Roman" w:cs="Times New Roman"/>
          <w:b/>
          <w:bCs/>
          <w:color w:val="800000"/>
        </w:rPr>
      </w:pPr>
      <w:r w:rsidRPr="00D14721">
        <w:rPr>
          <w:rFonts w:ascii="Times New Roman" w:hAnsi="Times New Roman" w:cs="Times New Roman"/>
          <w:noProof/>
          <w:lang w:val="en-US"/>
        </w:rPr>
        <w:drawing>
          <wp:anchor distT="0" distB="0" distL="114300" distR="114300" simplePos="0" relativeHeight="251660288" behindDoc="0" locked="0" layoutInCell="1" allowOverlap="1" wp14:anchorId="77AFCD9F" wp14:editId="0DA8C6BF">
            <wp:simplePos x="0" y="0"/>
            <wp:positionH relativeFrom="column">
              <wp:posOffset>151130</wp:posOffset>
            </wp:positionH>
            <wp:positionV relativeFrom="paragraph">
              <wp:posOffset>248920</wp:posOffset>
            </wp:positionV>
            <wp:extent cx="614045" cy="760095"/>
            <wp:effectExtent l="0" t="0" r="0" b="190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4045" cy="760095"/>
                    </a:xfrm>
                    <a:prstGeom prst="rect">
                      <a:avLst/>
                    </a:prstGeom>
                  </pic:spPr>
                </pic:pic>
              </a:graphicData>
            </a:graphic>
            <wp14:sizeRelH relativeFrom="margin">
              <wp14:pctWidth>0</wp14:pctWidth>
            </wp14:sizeRelH>
            <wp14:sizeRelV relativeFrom="margin">
              <wp14:pctHeight>0</wp14:pctHeight>
            </wp14:sizeRelV>
          </wp:anchor>
        </w:drawing>
      </w:r>
      <w:r w:rsidRPr="00D14721">
        <w:rPr>
          <w:rFonts w:ascii="Times New Roman" w:hAnsi="Times New Roman" w:cs="Times New Roman"/>
          <w:noProof/>
          <w:color w:val="000000"/>
          <w:lang w:val="en-US"/>
        </w:rPr>
        <mc:AlternateContent>
          <mc:Choice Requires="wps">
            <w:drawing>
              <wp:anchor distT="0" distB="0" distL="114300" distR="114300" simplePos="0" relativeHeight="251659264" behindDoc="1" locked="0" layoutInCell="1" allowOverlap="1" wp14:anchorId="22CD0DEE" wp14:editId="07058500">
                <wp:simplePos x="0" y="0"/>
                <wp:positionH relativeFrom="margin">
                  <wp:align>left</wp:align>
                </wp:positionH>
                <wp:positionV relativeFrom="paragraph">
                  <wp:posOffset>135255</wp:posOffset>
                </wp:positionV>
                <wp:extent cx="5829300" cy="9525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250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9176BC" id="Rectangle 8" o:spid="_x0000_s1026" style="position:absolute;margin-left:0;margin-top:10.65pt;width:459pt;height:7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" fillcolor="#ddd" stroked="f" strokecolor="maroon" strokeweight="1pt">
                <v:stroke dashstyle="dashDot"/>
                <w10:wrap anchorx="margin"/>
              </v:rect>
            </w:pict>
          </mc:Fallback>
        </mc:AlternateContent>
      </w:r>
    </w:p>
    <w:p w14:paraId="5A3AF786" w14:textId="1759131D" w:rsidR="000B1974" w:rsidRPr="00D14721" w:rsidRDefault="000B1974" w:rsidP="000B1974">
      <w:pPr>
        <w:tabs>
          <w:tab w:val="left" w:pos="3240"/>
        </w:tabs>
        <w:spacing w:after="0" w:line="280" w:lineRule="atLeast"/>
        <w:ind w:left="1622"/>
        <w:jc w:val="both"/>
        <w:rPr>
          <w:rFonts w:ascii="Times New Roman" w:hAnsi="Times New Roman" w:cs="Times New Roman"/>
          <w:b/>
          <w:bCs/>
          <w:color w:val="800000"/>
        </w:rPr>
      </w:pPr>
      <w:r w:rsidRPr="00D14721">
        <w:rPr>
          <w:rFonts w:ascii="Times New Roman" w:hAnsi="Times New Roman" w:cs="Times New Roman"/>
          <w:b/>
          <w:bCs/>
          <w:color w:val="800000"/>
        </w:rPr>
        <w:t>Contact:</w:t>
      </w:r>
    </w:p>
    <w:p w14:paraId="2336C10C" w14:textId="2380C72C" w:rsidR="000B1974" w:rsidRPr="00D14721" w:rsidRDefault="000B1974" w:rsidP="000B1974">
      <w:pPr>
        <w:tabs>
          <w:tab w:val="left" w:pos="3240"/>
        </w:tabs>
        <w:spacing w:after="0" w:line="280" w:lineRule="atLeast"/>
        <w:ind w:left="1620"/>
        <w:jc w:val="both"/>
        <w:rPr>
          <w:rFonts w:ascii="Times New Roman" w:hAnsi="Times New Roman" w:cs="Times New Roman"/>
          <w:b/>
          <w:bCs/>
        </w:rPr>
      </w:pPr>
      <w:r w:rsidRPr="00D14721">
        <w:rPr>
          <w:rFonts w:ascii="Times New Roman" w:hAnsi="Times New Roman" w:cs="Times New Roman"/>
        </w:rPr>
        <w:t xml:space="preserve">For more information, please contact: </w:t>
      </w:r>
      <w:r w:rsidRPr="00D14721">
        <w:rPr>
          <w:rFonts w:ascii="Times New Roman" w:hAnsi="Times New Roman" w:cs="Times New Roman"/>
          <w:b/>
          <w:bCs/>
        </w:rPr>
        <w:t>Maud Gauchon</w:t>
      </w:r>
    </w:p>
    <w:p w14:paraId="0698BC62" w14:textId="77777777" w:rsidR="000B1974" w:rsidRPr="00D972B0" w:rsidRDefault="000B1974" w:rsidP="000B1974">
      <w:pPr>
        <w:tabs>
          <w:tab w:val="left" w:pos="3240"/>
        </w:tabs>
        <w:spacing w:after="0" w:line="280" w:lineRule="atLeast"/>
        <w:ind w:left="1620"/>
        <w:jc w:val="both"/>
        <w:rPr>
          <w:rFonts w:ascii="Times New Roman" w:hAnsi="Times New Roman" w:cs="Times New Roman"/>
          <w:lang w:val="fr-FR"/>
        </w:rPr>
      </w:pPr>
      <w:r w:rsidRPr="00D972B0">
        <w:rPr>
          <w:rFonts w:ascii="Times New Roman" w:hAnsi="Times New Roman" w:cs="Times New Roman"/>
          <w:lang w:val="fr-FR"/>
        </w:rPr>
        <w:t xml:space="preserve">Tel.: </w:t>
      </w:r>
      <w:r w:rsidRPr="00D972B0">
        <w:rPr>
          <w:rFonts w:ascii="Times New Roman" w:hAnsi="Times New Roman" w:cs="Times New Roman"/>
          <w:b/>
          <w:bCs/>
          <w:lang w:val="fr-FR"/>
        </w:rPr>
        <w:t>+33 493 187 887</w:t>
      </w:r>
      <w:r w:rsidRPr="00D972B0">
        <w:rPr>
          <w:rFonts w:ascii="Times New Roman" w:hAnsi="Times New Roman" w:cs="Times New Roman"/>
          <w:lang w:val="fr-FR"/>
        </w:rPr>
        <w:t xml:space="preserve"> – E-mail: </w:t>
      </w:r>
      <w:r w:rsidR="001E266F">
        <w:fldChar w:fldCharType="begin"/>
      </w:r>
      <w:r w:rsidR="001E266F" w:rsidRPr="001E266F">
        <w:rPr>
          <w:lang w:val="fr-FR"/>
        </w:rPr>
        <w:instrText xml:space="preserve"> HYPERLINK "mailto:maud.gauchon@climateimpactedhec.com" </w:instrText>
      </w:r>
      <w:r w:rsidR="001E266F">
        <w:fldChar w:fldCharType="separate"/>
      </w:r>
      <w:r w:rsidRPr="00D972B0">
        <w:rPr>
          <w:rStyle w:val="Hyperlink"/>
          <w:rFonts w:ascii="Times New Roman" w:eastAsia="SimSun" w:hAnsi="Times New Roman" w:cs="Times New Roman"/>
          <w:lang w:val="fr-FR"/>
        </w:rPr>
        <w:t>maud.gauchon@climateimpactedhec.com</w:t>
      </w:r>
      <w:r w:rsidR="001E266F">
        <w:rPr>
          <w:rStyle w:val="Hyperlink"/>
          <w:rFonts w:ascii="Times New Roman" w:eastAsia="SimSun" w:hAnsi="Times New Roman" w:cs="Times New Roman"/>
          <w:lang w:val="fr-FR"/>
        </w:rPr>
        <w:fldChar w:fldCharType="end"/>
      </w:r>
    </w:p>
    <w:p w14:paraId="2C7FB8F8" w14:textId="77777777" w:rsidR="000B1974" w:rsidRPr="00D14721" w:rsidRDefault="000B1974" w:rsidP="000B1974">
      <w:pPr>
        <w:tabs>
          <w:tab w:val="left" w:pos="3240"/>
        </w:tabs>
        <w:spacing w:after="0" w:line="280" w:lineRule="atLeast"/>
        <w:ind w:left="1620"/>
        <w:rPr>
          <w:rFonts w:ascii="Times New Roman" w:hAnsi="Times New Roman" w:cs="Times New Roman"/>
        </w:rPr>
      </w:pPr>
      <w:r w:rsidRPr="00D14721">
        <w:rPr>
          <w:rFonts w:ascii="Times New Roman" w:hAnsi="Times New Roman" w:cs="Times New Roman"/>
        </w:rPr>
        <w:t xml:space="preserve">To visit our web site: </w:t>
      </w:r>
      <w:hyperlink r:id="rId13" w:history="1">
        <w:r w:rsidRPr="00D14721">
          <w:rPr>
            <w:rStyle w:val="Hyperlink"/>
            <w:rFonts w:ascii="Times New Roman" w:eastAsia="SimSun" w:hAnsi="Times New Roman" w:cs="Times New Roman"/>
          </w:rPr>
          <w:t>https://climateimpact.edhec.edu/</w:t>
        </w:r>
      </w:hyperlink>
    </w:p>
    <w:p w14:paraId="5746320D" w14:textId="77777777" w:rsidR="00312ED9" w:rsidRDefault="00312ED9" w:rsidP="000B1974">
      <w:pPr>
        <w:spacing w:line="360" w:lineRule="auto"/>
        <w:jc w:val="both"/>
        <w:rPr>
          <w:rFonts w:ascii="Times New Roman" w:hAnsi="Times New Roman" w:cs="Times New Roman"/>
          <w:b/>
          <w:bCs/>
          <w:sz w:val="28"/>
          <w:szCs w:val="28"/>
        </w:rPr>
      </w:pPr>
    </w:p>
    <w:p w14:paraId="0A2ADC6D" w14:textId="77777777" w:rsidR="000E6424" w:rsidRDefault="000E6424" w:rsidP="000B1974">
      <w:pPr>
        <w:spacing w:line="360" w:lineRule="auto"/>
        <w:jc w:val="both"/>
        <w:rPr>
          <w:rFonts w:ascii="Times New Roman" w:hAnsi="Times New Roman" w:cs="Times New Roman"/>
          <w:b/>
          <w:bCs/>
          <w:sz w:val="28"/>
          <w:szCs w:val="28"/>
        </w:rPr>
      </w:pPr>
    </w:p>
    <w:p w14:paraId="67D6CDE0" w14:textId="77777777" w:rsidR="003356CD" w:rsidRDefault="003356CD">
      <w:pPr>
        <w:rPr>
          <w:rFonts w:ascii="Times New Roman" w:hAnsi="Times New Roman" w:cs="Times New Roman"/>
          <w:b/>
          <w:bCs/>
          <w:sz w:val="28"/>
          <w:szCs w:val="28"/>
        </w:rPr>
      </w:pPr>
      <w:r>
        <w:rPr>
          <w:rFonts w:ascii="Times New Roman" w:hAnsi="Times New Roman" w:cs="Times New Roman"/>
          <w:b/>
          <w:bCs/>
          <w:sz w:val="28"/>
          <w:szCs w:val="28"/>
        </w:rPr>
        <w:br w:type="page"/>
      </w:r>
    </w:p>
    <w:p w14:paraId="012BDEFF" w14:textId="73B7A8E2" w:rsidR="00497F33" w:rsidRPr="00E94DF2" w:rsidRDefault="003A2CBF" w:rsidP="000B1974">
      <w:pPr>
        <w:spacing w:line="360" w:lineRule="auto"/>
        <w:jc w:val="both"/>
        <w:rPr>
          <w:rFonts w:ascii="Times New Roman" w:hAnsi="Times New Roman" w:cs="Times New Roman"/>
          <w:b/>
          <w:bCs/>
          <w:sz w:val="28"/>
          <w:szCs w:val="28"/>
        </w:rPr>
      </w:pPr>
      <w:r w:rsidRPr="00E94DF2">
        <w:rPr>
          <w:rFonts w:ascii="Times New Roman" w:hAnsi="Times New Roman" w:cs="Times New Roman"/>
          <w:b/>
          <w:bCs/>
          <w:sz w:val="28"/>
          <w:szCs w:val="28"/>
        </w:rPr>
        <w:lastRenderedPageBreak/>
        <w:t>About the research chair</w:t>
      </w:r>
    </w:p>
    <w:p w14:paraId="17840464" w14:textId="6D000D00" w:rsidR="00096149" w:rsidRPr="00E94DF2" w:rsidRDefault="00096149" w:rsidP="00096149">
      <w:pPr>
        <w:jc w:val="both"/>
        <w:rPr>
          <w:rFonts w:ascii="Times New Roman" w:eastAsia="Times New Roman" w:hAnsi="Times New Roman" w:cs="Times New Roman"/>
        </w:rPr>
      </w:pPr>
      <w:r w:rsidRPr="00E94DF2">
        <w:rPr>
          <w:rFonts w:ascii="Times New Roman" w:eastAsia="Times New Roman" w:hAnsi="Times New Roman" w:cs="Times New Roman"/>
        </w:rPr>
        <w:t>Jointly endowed by EDHEC Business School and Scientific Beta, the “Upgrading Climate Scenarios for Investment Management” research chair at the EDHEC-Risk Climate Impact Institute aims to address the pressing need for speciali</w:t>
      </w:r>
      <w:r w:rsidR="00B54C51" w:rsidRPr="00E94DF2">
        <w:rPr>
          <w:rFonts w:ascii="Times New Roman" w:eastAsia="Times New Roman" w:hAnsi="Times New Roman" w:cs="Times New Roman"/>
        </w:rPr>
        <w:t>s</w:t>
      </w:r>
      <w:r w:rsidRPr="00E94DF2">
        <w:rPr>
          <w:rFonts w:ascii="Times New Roman" w:eastAsia="Times New Roman" w:hAnsi="Times New Roman" w:cs="Times New Roman"/>
        </w:rPr>
        <w:t>ed tools to integrate climate risks into investment management.</w:t>
      </w:r>
    </w:p>
    <w:p w14:paraId="7A289A80" w14:textId="2BADB174" w:rsidR="00096149" w:rsidRPr="00E94DF2" w:rsidRDefault="00B54C51" w:rsidP="00096149">
      <w:pPr>
        <w:jc w:val="both"/>
        <w:rPr>
          <w:rFonts w:ascii="Times New Roman" w:eastAsia="Times New Roman" w:hAnsi="Times New Roman" w:cs="Times New Roman"/>
        </w:rPr>
      </w:pPr>
      <w:r w:rsidRPr="00E94DF2">
        <w:rPr>
          <w:rFonts w:ascii="Times New Roman" w:eastAsia="Times New Roman" w:hAnsi="Times New Roman" w:cs="Times New Roman"/>
        </w:rPr>
        <w:t>C</w:t>
      </w:r>
      <w:r w:rsidR="00096149" w:rsidRPr="00E94DF2">
        <w:rPr>
          <w:rFonts w:ascii="Times New Roman" w:eastAsia="Times New Roman" w:hAnsi="Times New Roman" w:cs="Times New Roman"/>
        </w:rPr>
        <w:t xml:space="preserve">limate change </w:t>
      </w:r>
      <w:r w:rsidRPr="00E94DF2">
        <w:rPr>
          <w:rFonts w:ascii="Times New Roman" w:eastAsia="Times New Roman" w:hAnsi="Times New Roman" w:cs="Times New Roman"/>
        </w:rPr>
        <w:t xml:space="preserve">is </w:t>
      </w:r>
      <w:r w:rsidR="00096149" w:rsidRPr="00E94DF2">
        <w:rPr>
          <w:rFonts w:ascii="Times New Roman" w:eastAsia="Times New Roman" w:hAnsi="Times New Roman" w:cs="Times New Roman"/>
        </w:rPr>
        <w:t>becom</w:t>
      </w:r>
      <w:r w:rsidRPr="00E94DF2">
        <w:rPr>
          <w:rFonts w:ascii="Times New Roman" w:eastAsia="Times New Roman" w:hAnsi="Times New Roman" w:cs="Times New Roman"/>
        </w:rPr>
        <w:t>ing</w:t>
      </w:r>
      <w:r w:rsidR="00096149" w:rsidRPr="00E94DF2">
        <w:rPr>
          <w:rFonts w:ascii="Times New Roman" w:eastAsia="Times New Roman" w:hAnsi="Times New Roman" w:cs="Times New Roman"/>
        </w:rPr>
        <w:t xml:space="preserve"> increasingly tangible, manifesting in more frequent and severe extreme weather events,</w:t>
      </w:r>
      <w:r w:rsidRPr="00E94DF2">
        <w:rPr>
          <w:rFonts w:ascii="Times New Roman" w:eastAsia="Times New Roman" w:hAnsi="Times New Roman" w:cs="Times New Roman"/>
        </w:rPr>
        <w:t xml:space="preserve"> but</w:t>
      </w:r>
      <w:r w:rsidR="00096149" w:rsidRPr="00E94DF2">
        <w:rPr>
          <w:rFonts w:ascii="Times New Roman" w:eastAsia="Times New Roman" w:hAnsi="Times New Roman" w:cs="Times New Roman"/>
        </w:rPr>
        <w:t xml:space="preserve"> the majority of the resulting damage to nature, people, and economies is yet to come. This renders historical data and traditional statistical estimation methods largely irrelevant for assessing and managing climate risks. Consequently, climate scenario analysis and stress testing have become central components of the investor toolbox.</w:t>
      </w:r>
    </w:p>
    <w:p w14:paraId="02EC916C" w14:textId="417D7978" w:rsidR="00096149" w:rsidRPr="00E94DF2" w:rsidRDefault="00096149" w:rsidP="00096149">
      <w:pPr>
        <w:jc w:val="both"/>
        <w:rPr>
          <w:rFonts w:ascii="Times New Roman" w:eastAsia="Times New Roman" w:hAnsi="Times New Roman" w:cs="Times New Roman"/>
        </w:rPr>
      </w:pPr>
      <w:r w:rsidRPr="00E94DF2">
        <w:rPr>
          <w:rFonts w:ascii="Times New Roman" w:eastAsia="Times New Roman" w:hAnsi="Times New Roman" w:cs="Times New Roman"/>
        </w:rPr>
        <w:t xml:space="preserve">In their current state, these tools are primarily crude what-if instruments designed to aid long-term strategic thinking about uncertainty and identify vulnerabilities to potential shocks. Substantial work is needed to enhance and adapt climate scenarios for risk and investment management purposes. The critical challenge lies in embedding scenario analysis within a coherent probabilistic framework, </w:t>
      </w:r>
      <w:r w:rsidR="00B54C51" w:rsidRPr="00E94DF2">
        <w:rPr>
          <w:rFonts w:ascii="Times New Roman" w:eastAsia="Times New Roman" w:hAnsi="Times New Roman" w:cs="Times New Roman"/>
        </w:rPr>
        <w:t xml:space="preserve">enabling </w:t>
      </w:r>
      <w:r w:rsidRPr="00E94DF2">
        <w:rPr>
          <w:rFonts w:ascii="Times New Roman" w:eastAsia="Times New Roman" w:hAnsi="Times New Roman" w:cs="Times New Roman"/>
        </w:rPr>
        <w:t>finance professionals to compute relevant risk and return metrics.</w:t>
      </w:r>
    </w:p>
    <w:p w14:paraId="5E63A84C" w14:textId="5EDBC994" w:rsidR="003A2CBF" w:rsidRPr="00D14721" w:rsidRDefault="001E266F" w:rsidP="00096149">
      <w:pPr>
        <w:pStyle w:val="NormalWeb"/>
        <w:spacing w:line="259" w:lineRule="auto"/>
        <w:jc w:val="both"/>
        <w:rPr>
          <w:sz w:val="22"/>
          <w:szCs w:val="22"/>
        </w:rPr>
      </w:pPr>
      <w:hyperlink r:id="rId14" w:history="1">
        <w:r w:rsidR="00096149" w:rsidRPr="00E94DF2">
          <w:rPr>
            <w:rStyle w:val="Hyperlink"/>
            <w:sz w:val="22"/>
            <w:szCs w:val="22"/>
          </w:rPr>
          <w:t>Professor Riccardo Rebonato</w:t>
        </w:r>
      </w:hyperlink>
      <w:r w:rsidR="00096149" w:rsidRPr="00E94DF2">
        <w:rPr>
          <w:sz w:val="22"/>
          <w:szCs w:val="22"/>
        </w:rPr>
        <w:t xml:space="preserve">, Scientific Director at the EDHEC-Risk Climate Impact Institute, leads this research effort. A nuclear physicist by training, </w:t>
      </w:r>
      <w:r w:rsidR="00B54C51" w:rsidRPr="00E94DF2">
        <w:rPr>
          <w:sz w:val="22"/>
          <w:szCs w:val="22"/>
        </w:rPr>
        <w:t xml:space="preserve">he </w:t>
      </w:r>
      <w:r w:rsidR="00096149" w:rsidRPr="00E94DF2">
        <w:rPr>
          <w:sz w:val="22"/>
          <w:szCs w:val="22"/>
        </w:rPr>
        <w:t>has made significant contributions to quantitative portfolio theory, risk modelling, and management, and has held senior research positions in the financial industry.</w:t>
      </w:r>
    </w:p>
    <w:p w14:paraId="6A916124" w14:textId="57E82DA4" w:rsidR="000B1974" w:rsidRPr="00D14721" w:rsidRDefault="000B1974" w:rsidP="000B1974">
      <w:pPr>
        <w:spacing w:line="360" w:lineRule="auto"/>
        <w:jc w:val="both"/>
        <w:rPr>
          <w:rFonts w:ascii="Times New Roman" w:hAnsi="Times New Roman" w:cs="Times New Roman"/>
          <w:b/>
          <w:bCs/>
          <w:sz w:val="28"/>
          <w:szCs w:val="28"/>
        </w:rPr>
      </w:pPr>
      <w:r w:rsidRPr="00D14721">
        <w:rPr>
          <w:rFonts w:ascii="Times New Roman" w:hAnsi="Times New Roman" w:cs="Times New Roman"/>
          <w:b/>
          <w:bCs/>
          <w:sz w:val="28"/>
          <w:szCs w:val="28"/>
        </w:rPr>
        <w:t>About EDHEC-Risk Climate Impact Institute</w:t>
      </w:r>
    </w:p>
    <w:p w14:paraId="6648A1C1" w14:textId="293BFE90" w:rsidR="000B1974" w:rsidRPr="009834BB" w:rsidRDefault="00BA726B" w:rsidP="000B1974">
      <w:pPr>
        <w:spacing w:line="280" w:lineRule="atLeast"/>
        <w:jc w:val="both"/>
        <w:rPr>
          <w:rFonts w:ascii="Times New Roman" w:hAnsi="Times New Roman" w:cs="Times New Roman"/>
        </w:rPr>
      </w:pPr>
      <w:r w:rsidRPr="00BA726B">
        <w:rPr>
          <w:rFonts w:ascii="Times New Roman" w:hAnsi="Times New Roman" w:cs="Times New Roman"/>
          <w:b/>
          <w:bCs/>
        </w:rPr>
        <w:t>Delivering Research Insights on Climate Risk to the Financial Community</w:t>
      </w:r>
    </w:p>
    <w:p w14:paraId="0B7256BD" w14:textId="6B577759" w:rsidR="000B1974" w:rsidRPr="009834BB" w:rsidRDefault="000B1974" w:rsidP="000B1974">
      <w:pPr>
        <w:shd w:val="clear" w:color="auto" w:fill="FFFFFF"/>
        <w:spacing w:after="150"/>
        <w:jc w:val="both"/>
        <w:rPr>
          <w:rFonts w:ascii="Times New Roman" w:hAnsi="Times New Roman" w:cs="Times New Roman"/>
        </w:rPr>
      </w:pPr>
      <w:r w:rsidRPr="009834BB">
        <w:rPr>
          <w:rFonts w:ascii="Times New Roman" w:hAnsi="Times New Roman" w:cs="Times New Roman"/>
        </w:rPr>
        <w:t xml:space="preserve">EDHEC-Risk Climate’s mission is to help private and public decision makers manage climate-related financial risks and </w:t>
      </w:r>
      <w:r w:rsidR="003A2CBF" w:rsidRPr="009834BB">
        <w:rPr>
          <w:rFonts w:ascii="Times New Roman" w:hAnsi="Times New Roman" w:cs="Times New Roman"/>
        </w:rPr>
        <w:t xml:space="preserve">effectively use financial tools </w:t>
      </w:r>
      <w:r w:rsidRPr="009834BB">
        <w:rPr>
          <w:rFonts w:ascii="Times New Roman" w:hAnsi="Times New Roman" w:cs="Times New Roman"/>
        </w:rPr>
        <w:t>to support the transition to low-emission and climate-resilient economies.</w:t>
      </w:r>
    </w:p>
    <w:p w14:paraId="3C763A2C" w14:textId="158A949C" w:rsidR="000B1974" w:rsidRPr="009834BB" w:rsidRDefault="000B1974" w:rsidP="000B1974">
      <w:pPr>
        <w:shd w:val="clear" w:color="auto" w:fill="FFFFFF"/>
        <w:spacing w:after="150"/>
        <w:jc w:val="both"/>
        <w:rPr>
          <w:rFonts w:ascii="Times New Roman" w:hAnsi="Times New Roman" w:cs="Times New Roman"/>
        </w:rPr>
      </w:pPr>
      <w:r w:rsidRPr="009834BB">
        <w:rPr>
          <w:rFonts w:ascii="Times New Roman" w:hAnsi="Times New Roman" w:cs="Times New Roman"/>
        </w:rPr>
        <w:t>Building upon the expertise and industry reputation developed by EDHEC-Risk Institute, EDHEC-Risk Climate</w:t>
      </w:r>
      <w:r w:rsidR="00FD4B61" w:rsidRPr="009834BB">
        <w:rPr>
          <w:rFonts w:ascii="Times New Roman" w:hAnsi="Times New Roman" w:cs="Times New Roman"/>
        </w:rPr>
        <w:t xml:space="preserve"> aims</w:t>
      </w:r>
      <w:r w:rsidRPr="009834BB">
        <w:rPr>
          <w:rFonts w:ascii="Times New Roman" w:hAnsi="Times New Roman" w:cs="Times New Roman"/>
        </w:rPr>
        <w:t xml:space="preserve"> to become the leading academic reference point</w:t>
      </w:r>
      <w:r w:rsidR="003A2CBF" w:rsidRPr="009834BB">
        <w:rPr>
          <w:rFonts w:ascii="Times New Roman" w:hAnsi="Times New Roman" w:cs="Times New Roman"/>
        </w:rPr>
        <w:t>,</w:t>
      </w:r>
      <w:r w:rsidRPr="009834BB">
        <w:rPr>
          <w:rFonts w:ascii="Times New Roman" w:hAnsi="Times New Roman" w:cs="Times New Roman"/>
        </w:rPr>
        <w:t xml:space="preserve"> helping long-term investors manage the risk and investment implications of climate change and climate action.</w:t>
      </w:r>
    </w:p>
    <w:p w14:paraId="3AB70870" w14:textId="30D12688" w:rsidR="00FD4B61" w:rsidRPr="009834BB" w:rsidRDefault="00FD4B61" w:rsidP="000B1974">
      <w:pPr>
        <w:shd w:val="clear" w:color="auto" w:fill="FFFFFF"/>
        <w:spacing w:after="150"/>
        <w:jc w:val="both"/>
        <w:rPr>
          <w:rFonts w:ascii="Times New Roman" w:hAnsi="Times New Roman" w:cs="Times New Roman"/>
        </w:rPr>
      </w:pPr>
      <w:r w:rsidRPr="009834BB">
        <w:rPr>
          <w:rFonts w:ascii="Times New Roman" w:hAnsi="Times New Roman" w:cs="Times New Roman"/>
        </w:rPr>
        <w:t>We also strive to help policymakers and financial supervisors assess climate-related risks within the financial system. Our goal is to provide tools to mitigate those risks and optimi</w:t>
      </w:r>
      <w:r w:rsidR="00B54C51" w:rsidRPr="009834BB">
        <w:rPr>
          <w:rFonts w:ascii="Times New Roman" w:hAnsi="Times New Roman" w:cs="Times New Roman"/>
        </w:rPr>
        <w:t>s</w:t>
      </w:r>
      <w:r w:rsidRPr="009834BB">
        <w:rPr>
          <w:rFonts w:ascii="Times New Roman" w:hAnsi="Times New Roman" w:cs="Times New Roman"/>
        </w:rPr>
        <w:t>e the financial sector's contribution to climate change mitigation and adaptation.</w:t>
      </w:r>
    </w:p>
    <w:p w14:paraId="5985DFE5" w14:textId="7ED8773A" w:rsidR="000B1974" w:rsidRPr="009834BB" w:rsidRDefault="003A2CBF" w:rsidP="000B1974">
      <w:pPr>
        <w:shd w:val="clear" w:color="auto" w:fill="FFFFFF"/>
        <w:spacing w:after="150"/>
        <w:jc w:val="both"/>
        <w:rPr>
          <w:rFonts w:ascii="Times New Roman" w:hAnsi="Times New Roman" w:cs="Times New Roman"/>
        </w:rPr>
      </w:pPr>
      <w:r w:rsidRPr="009834BB">
        <w:rPr>
          <w:rFonts w:ascii="Times New Roman" w:hAnsi="Times New Roman" w:cs="Times New Roman"/>
        </w:rPr>
        <w:t>Our</w:t>
      </w:r>
      <w:r w:rsidR="000B1974" w:rsidRPr="009834BB">
        <w:rPr>
          <w:rFonts w:ascii="Times New Roman" w:hAnsi="Times New Roman" w:cs="Times New Roman"/>
        </w:rPr>
        <w:t xml:space="preserve"> ambitions </w:t>
      </w:r>
      <w:r w:rsidRPr="009834BB">
        <w:rPr>
          <w:rFonts w:ascii="Times New Roman" w:hAnsi="Times New Roman" w:cs="Times New Roman"/>
        </w:rPr>
        <w:t>are</w:t>
      </w:r>
      <w:r w:rsidR="000B1974" w:rsidRPr="009834BB">
        <w:rPr>
          <w:rFonts w:ascii="Times New Roman" w:hAnsi="Times New Roman" w:cs="Times New Roman"/>
        </w:rPr>
        <w:t xml:space="preserve"> centred around two long-term research programmes and a policy advocacy function.</w:t>
      </w:r>
    </w:p>
    <w:p w14:paraId="7FEB3D50" w14:textId="48733188" w:rsidR="000B1974" w:rsidRPr="009834BB" w:rsidRDefault="000B1974" w:rsidP="000B1974">
      <w:pPr>
        <w:shd w:val="clear" w:color="auto" w:fill="FFFFFF"/>
        <w:spacing w:after="150"/>
        <w:jc w:val="both"/>
        <w:rPr>
          <w:rFonts w:ascii="Times New Roman" w:hAnsi="Times New Roman" w:cs="Times New Roman"/>
        </w:rPr>
      </w:pPr>
      <w:r w:rsidRPr="009834BB">
        <w:rPr>
          <w:rFonts w:ascii="Times New Roman" w:hAnsi="Times New Roman" w:cs="Times New Roman"/>
        </w:rPr>
        <w:t xml:space="preserve">The research programmes look at the </w:t>
      </w:r>
      <w:r w:rsidRPr="009834BB">
        <w:rPr>
          <w:rFonts w:ascii="Times New Roman" w:hAnsi="Times New Roman" w:cs="Times New Roman"/>
          <w:b/>
          <w:bCs/>
        </w:rPr>
        <w:t>Implications of Climate Change on Asset Pricing and Investment Management</w:t>
      </w:r>
      <w:r w:rsidRPr="009834BB">
        <w:rPr>
          <w:rFonts w:ascii="Times New Roman" w:hAnsi="Times New Roman" w:cs="Times New Roman"/>
        </w:rPr>
        <w:t xml:space="preserve"> and the </w:t>
      </w:r>
      <w:r w:rsidRPr="009834BB">
        <w:rPr>
          <w:rFonts w:ascii="Times New Roman" w:hAnsi="Times New Roman" w:cs="Times New Roman"/>
          <w:b/>
          <w:bCs/>
        </w:rPr>
        <w:t>Impact of Finance on Climate Change Mitigation and Adaptation</w:t>
      </w:r>
      <w:r w:rsidRPr="009834BB">
        <w:rPr>
          <w:rFonts w:ascii="Times New Roman" w:hAnsi="Times New Roman" w:cs="Times New Roman"/>
        </w:rPr>
        <w:t>. The policy advocacy function is directed towards regulators and standardisation authorities.</w:t>
      </w:r>
    </w:p>
    <w:p w14:paraId="4F86D4F3" w14:textId="62BFFB3B" w:rsidR="003A2CBF" w:rsidRPr="009834BB" w:rsidRDefault="003A2CBF" w:rsidP="000B1974">
      <w:pPr>
        <w:tabs>
          <w:tab w:val="left" w:pos="3000"/>
        </w:tabs>
        <w:jc w:val="both"/>
        <w:rPr>
          <w:rFonts w:ascii="Times New Roman" w:hAnsi="Times New Roman" w:cs="Times New Roman"/>
        </w:rPr>
      </w:pPr>
      <w:r w:rsidRPr="009834BB">
        <w:rPr>
          <w:rFonts w:ascii="Times New Roman" w:hAnsi="Times New Roman" w:cs="Times New Roman"/>
        </w:rPr>
        <w:t>Currently, the Institute brings together a dozen faculty members, researchers, and staff, supported by EUR20 million from the EDHEC Endowment Fund.</w:t>
      </w:r>
    </w:p>
    <w:p w14:paraId="468BFB00" w14:textId="7A15FFBD" w:rsidR="000B1974" w:rsidRPr="009834BB" w:rsidRDefault="00FD4B61" w:rsidP="000B1974">
      <w:pPr>
        <w:tabs>
          <w:tab w:val="left" w:pos="3000"/>
        </w:tabs>
        <w:jc w:val="both"/>
        <w:rPr>
          <w:rFonts w:ascii="Times New Roman" w:hAnsi="Times New Roman" w:cs="Times New Roman"/>
        </w:rPr>
      </w:pPr>
      <w:r w:rsidRPr="009834BB">
        <w:rPr>
          <w:rFonts w:ascii="Times New Roman" w:hAnsi="Times New Roman" w:cs="Times New Roman"/>
        </w:rPr>
        <w:lastRenderedPageBreak/>
        <w:t>Our</w:t>
      </w:r>
      <w:r w:rsidR="000B1974" w:rsidRPr="009834BB">
        <w:rPr>
          <w:rFonts w:ascii="Times New Roman" w:hAnsi="Times New Roman" w:cs="Times New Roman"/>
        </w:rPr>
        <w:t xml:space="preserve"> philosophy </w:t>
      </w:r>
      <w:r w:rsidRPr="009834BB">
        <w:rPr>
          <w:rFonts w:ascii="Times New Roman" w:hAnsi="Times New Roman" w:cs="Times New Roman"/>
        </w:rPr>
        <w:t>emphasi</w:t>
      </w:r>
      <w:r w:rsidR="00B54C51" w:rsidRPr="009834BB">
        <w:rPr>
          <w:rFonts w:ascii="Times New Roman" w:hAnsi="Times New Roman" w:cs="Times New Roman"/>
        </w:rPr>
        <w:t>s</w:t>
      </w:r>
      <w:r w:rsidRPr="009834BB">
        <w:rPr>
          <w:rFonts w:ascii="Times New Roman" w:hAnsi="Times New Roman" w:cs="Times New Roman"/>
        </w:rPr>
        <w:t xml:space="preserve">es </w:t>
      </w:r>
      <w:r w:rsidR="000B1974" w:rsidRPr="009834BB">
        <w:rPr>
          <w:rFonts w:ascii="Times New Roman" w:hAnsi="Times New Roman" w:cs="Times New Roman"/>
        </w:rPr>
        <w:t>validat</w:t>
      </w:r>
      <w:r w:rsidRPr="009834BB">
        <w:rPr>
          <w:rFonts w:ascii="Times New Roman" w:hAnsi="Times New Roman" w:cs="Times New Roman"/>
        </w:rPr>
        <w:t>ing</w:t>
      </w:r>
      <w:r w:rsidR="000B1974" w:rsidRPr="009834BB">
        <w:rPr>
          <w:rFonts w:ascii="Times New Roman" w:hAnsi="Times New Roman" w:cs="Times New Roman"/>
        </w:rPr>
        <w:t xml:space="preserve"> </w:t>
      </w:r>
      <w:r w:rsidRPr="009834BB">
        <w:rPr>
          <w:rFonts w:ascii="Times New Roman" w:hAnsi="Times New Roman" w:cs="Times New Roman"/>
        </w:rPr>
        <w:t>research</w:t>
      </w:r>
      <w:r w:rsidR="000B1974" w:rsidRPr="009834BB">
        <w:rPr>
          <w:rFonts w:ascii="Times New Roman" w:hAnsi="Times New Roman" w:cs="Times New Roman"/>
        </w:rPr>
        <w:t xml:space="preserve"> through publication in scientific journals</w:t>
      </w:r>
      <w:r w:rsidR="00266E10" w:rsidRPr="009834BB">
        <w:rPr>
          <w:rFonts w:ascii="Times New Roman" w:hAnsi="Times New Roman" w:cs="Times New Roman"/>
        </w:rPr>
        <w:t xml:space="preserve"> and making</w:t>
      </w:r>
      <w:r w:rsidR="000B1974" w:rsidRPr="009834BB">
        <w:rPr>
          <w:rFonts w:ascii="Times New Roman" w:hAnsi="Times New Roman" w:cs="Times New Roman"/>
        </w:rPr>
        <w:t xml:space="preserve"> this research </w:t>
      </w:r>
      <w:r w:rsidR="00B72D8D" w:rsidRPr="009834BB">
        <w:rPr>
          <w:rFonts w:ascii="Times New Roman" w:hAnsi="Times New Roman" w:cs="Times New Roman"/>
        </w:rPr>
        <w:t>accessible</w:t>
      </w:r>
      <w:r w:rsidR="000B1974" w:rsidRPr="009834BB">
        <w:rPr>
          <w:rFonts w:ascii="Times New Roman" w:hAnsi="Times New Roman" w:cs="Times New Roman"/>
        </w:rPr>
        <w:t xml:space="preserve"> to professionals. </w:t>
      </w:r>
      <w:r w:rsidR="00266E10" w:rsidRPr="009834BB">
        <w:rPr>
          <w:rFonts w:ascii="Times New Roman" w:hAnsi="Times New Roman" w:cs="Times New Roman"/>
        </w:rPr>
        <w:t>We</w:t>
      </w:r>
      <w:r w:rsidR="000B1974" w:rsidRPr="009834BB">
        <w:rPr>
          <w:rFonts w:ascii="Times New Roman" w:hAnsi="Times New Roman" w:cs="Times New Roman"/>
        </w:rPr>
        <w:t xml:space="preserve"> </w:t>
      </w:r>
      <w:r w:rsidR="00266E10" w:rsidRPr="009834BB">
        <w:rPr>
          <w:rFonts w:ascii="Times New Roman" w:hAnsi="Times New Roman" w:cs="Times New Roman"/>
        </w:rPr>
        <w:t>actively contribute to</w:t>
      </w:r>
      <w:r w:rsidR="000B1974" w:rsidRPr="009834BB">
        <w:rPr>
          <w:rFonts w:ascii="Times New Roman" w:hAnsi="Times New Roman" w:cs="Times New Roman"/>
        </w:rPr>
        <w:t xml:space="preserve"> industry debate</w:t>
      </w:r>
      <w:r w:rsidR="00266E10" w:rsidRPr="009834BB">
        <w:rPr>
          <w:rFonts w:ascii="Times New Roman" w:hAnsi="Times New Roman" w:cs="Times New Roman"/>
        </w:rPr>
        <w:t>s</w:t>
      </w:r>
      <w:r w:rsidR="000B1974" w:rsidRPr="009834BB">
        <w:rPr>
          <w:rFonts w:ascii="Times New Roman" w:hAnsi="Times New Roman" w:cs="Times New Roman"/>
        </w:rPr>
        <w:t xml:space="preserve"> </w:t>
      </w:r>
      <w:r w:rsidR="00266E10" w:rsidRPr="009834BB">
        <w:rPr>
          <w:rFonts w:ascii="Times New Roman" w:hAnsi="Times New Roman" w:cs="Times New Roman"/>
        </w:rPr>
        <w:t>via</w:t>
      </w:r>
      <w:r w:rsidR="000B1974" w:rsidRPr="009834BB">
        <w:rPr>
          <w:rFonts w:ascii="Times New Roman" w:hAnsi="Times New Roman" w:cs="Times New Roman"/>
        </w:rPr>
        <w:t xml:space="preserve"> position papers</w:t>
      </w:r>
      <w:r w:rsidR="00266E10" w:rsidRPr="009834BB">
        <w:rPr>
          <w:rFonts w:ascii="Times New Roman" w:hAnsi="Times New Roman" w:cs="Times New Roman"/>
        </w:rPr>
        <w:t xml:space="preserve"> and</w:t>
      </w:r>
      <w:r w:rsidR="000B1974" w:rsidRPr="009834BB">
        <w:rPr>
          <w:rFonts w:ascii="Times New Roman" w:hAnsi="Times New Roman" w:cs="Times New Roman"/>
        </w:rPr>
        <w:t xml:space="preserve"> published studies, online courses</w:t>
      </w:r>
      <w:r w:rsidR="00266E10" w:rsidRPr="009834BB">
        <w:rPr>
          <w:rFonts w:ascii="Times New Roman" w:hAnsi="Times New Roman" w:cs="Times New Roman"/>
        </w:rPr>
        <w:t xml:space="preserve"> and</w:t>
      </w:r>
      <w:r w:rsidR="000B1974" w:rsidRPr="009834BB">
        <w:rPr>
          <w:rFonts w:ascii="Times New Roman" w:hAnsi="Times New Roman" w:cs="Times New Roman"/>
        </w:rPr>
        <w:t xml:space="preserve"> webinars, </w:t>
      </w:r>
      <w:r w:rsidR="00266E10" w:rsidRPr="009834BB">
        <w:rPr>
          <w:rFonts w:ascii="Times New Roman" w:hAnsi="Times New Roman" w:cs="Times New Roman"/>
        </w:rPr>
        <w:t>and contributions to</w:t>
      </w:r>
      <w:r w:rsidR="000B1974" w:rsidRPr="009834BB">
        <w:rPr>
          <w:rFonts w:ascii="Times New Roman" w:hAnsi="Times New Roman" w:cs="Times New Roman"/>
        </w:rPr>
        <w:t xml:space="preserve"> global conferences.</w:t>
      </w:r>
    </w:p>
    <w:p w14:paraId="03290AF1" w14:textId="582F98CA" w:rsidR="000B1974" w:rsidRPr="009834BB" w:rsidRDefault="00266E10" w:rsidP="000B1974">
      <w:pPr>
        <w:tabs>
          <w:tab w:val="left" w:pos="3000"/>
        </w:tabs>
        <w:jc w:val="both"/>
        <w:rPr>
          <w:rFonts w:ascii="Times New Roman" w:hAnsi="Times New Roman" w:cs="Times New Roman"/>
        </w:rPr>
      </w:pPr>
      <w:r w:rsidRPr="009834BB">
        <w:rPr>
          <w:rFonts w:ascii="Times New Roman" w:hAnsi="Times New Roman" w:cs="Times New Roman"/>
        </w:rPr>
        <w:t xml:space="preserve">We </w:t>
      </w:r>
      <w:r w:rsidR="000B1974" w:rsidRPr="009834BB">
        <w:rPr>
          <w:rFonts w:ascii="Times New Roman" w:hAnsi="Times New Roman" w:cs="Times New Roman"/>
        </w:rPr>
        <w:t>disseminat</w:t>
      </w:r>
      <w:r w:rsidRPr="009834BB">
        <w:rPr>
          <w:rFonts w:ascii="Times New Roman" w:hAnsi="Times New Roman" w:cs="Times New Roman"/>
        </w:rPr>
        <w:t xml:space="preserve">e </w:t>
      </w:r>
      <w:r w:rsidR="000B1974" w:rsidRPr="009834BB">
        <w:rPr>
          <w:rFonts w:ascii="Times New Roman" w:hAnsi="Times New Roman" w:cs="Times New Roman"/>
        </w:rPr>
        <w:t xml:space="preserve">our research </w:t>
      </w:r>
      <w:r w:rsidRPr="009834BB">
        <w:rPr>
          <w:rFonts w:ascii="Times New Roman" w:hAnsi="Times New Roman" w:cs="Times New Roman"/>
        </w:rPr>
        <w:t xml:space="preserve">and insights </w:t>
      </w:r>
      <w:r w:rsidR="000B1974" w:rsidRPr="009834BB">
        <w:rPr>
          <w:rFonts w:ascii="Times New Roman" w:hAnsi="Times New Roman" w:cs="Times New Roman"/>
        </w:rPr>
        <w:t xml:space="preserve">to the </w:t>
      </w:r>
      <w:r w:rsidRPr="009834BB">
        <w:rPr>
          <w:rFonts w:ascii="Times New Roman" w:hAnsi="Times New Roman" w:cs="Times New Roman"/>
        </w:rPr>
        <w:t>finance</w:t>
      </w:r>
      <w:r w:rsidR="000B1974" w:rsidRPr="009834BB">
        <w:rPr>
          <w:rFonts w:ascii="Times New Roman" w:hAnsi="Times New Roman" w:cs="Times New Roman"/>
        </w:rPr>
        <w:t xml:space="preserve"> industry </w:t>
      </w:r>
      <w:r w:rsidRPr="009834BB">
        <w:rPr>
          <w:rFonts w:ascii="Times New Roman" w:hAnsi="Times New Roman" w:cs="Times New Roman"/>
        </w:rPr>
        <w:t xml:space="preserve">via </w:t>
      </w:r>
      <w:r w:rsidR="003A2CBF" w:rsidRPr="009834BB">
        <w:rPr>
          <w:rFonts w:ascii="Times New Roman" w:hAnsi="Times New Roman" w:cs="Times New Roman"/>
        </w:rPr>
        <w:t>our</w:t>
      </w:r>
      <w:r w:rsidRPr="009834BB">
        <w:rPr>
          <w:rFonts w:ascii="Times New Roman" w:hAnsi="Times New Roman" w:cs="Times New Roman"/>
        </w:rPr>
        <w:t xml:space="preserve"> website</w:t>
      </w:r>
      <w:r w:rsidR="00EE2E58">
        <w:rPr>
          <w:rFonts w:ascii="Times New Roman" w:hAnsi="Times New Roman" w:cs="Times New Roman"/>
        </w:rPr>
        <w:t xml:space="preserve"> </w:t>
      </w:r>
      <w:hyperlink r:id="rId15" w:history="1">
        <w:r w:rsidR="00EE2E58" w:rsidRPr="00E205CC">
          <w:rPr>
            <w:rStyle w:val="Hyperlink"/>
            <w:rFonts w:ascii="Times New Roman" w:hAnsi="Times New Roman" w:cs="Times New Roman"/>
          </w:rPr>
          <w:t>https://climateimpact.edhec.edu</w:t>
        </w:r>
      </w:hyperlink>
      <w:r w:rsidR="00B72D8D" w:rsidRPr="009834BB">
        <w:rPr>
          <w:rFonts w:ascii="Times New Roman" w:hAnsi="Times New Roman" w:cs="Times New Roman"/>
        </w:rPr>
        <w:t xml:space="preserve">, </w:t>
      </w:r>
      <w:r w:rsidRPr="009834BB">
        <w:rPr>
          <w:rFonts w:ascii="Times New Roman" w:hAnsi="Times New Roman" w:cs="Times New Roman"/>
        </w:rPr>
        <w:t xml:space="preserve">a </w:t>
      </w:r>
      <w:r w:rsidR="000B1974" w:rsidRPr="009834BB">
        <w:rPr>
          <w:rFonts w:ascii="Times New Roman" w:hAnsi="Times New Roman" w:cs="Times New Roman"/>
        </w:rPr>
        <w:t xml:space="preserve">quarterly newsletter distributed </w:t>
      </w:r>
      <w:r w:rsidRPr="009834BB">
        <w:rPr>
          <w:rFonts w:ascii="Times New Roman" w:hAnsi="Times New Roman" w:cs="Times New Roman"/>
        </w:rPr>
        <w:t xml:space="preserve">to </w:t>
      </w:r>
      <w:r w:rsidR="00B54C51" w:rsidRPr="009834BB">
        <w:rPr>
          <w:rFonts w:ascii="Times New Roman" w:hAnsi="Times New Roman" w:cs="Times New Roman"/>
        </w:rPr>
        <w:t xml:space="preserve">more than </w:t>
      </w:r>
      <w:r w:rsidR="000B1974" w:rsidRPr="009834BB">
        <w:rPr>
          <w:rFonts w:ascii="Times New Roman" w:hAnsi="Times New Roman" w:cs="Times New Roman"/>
        </w:rPr>
        <w:t>100,000 readers</w:t>
      </w:r>
      <w:r w:rsidR="00B72D8D" w:rsidRPr="009834BB">
        <w:rPr>
          <w:rFonts w:ascii="Times New Roman" w:hAnsi="Times New Roman" w:cs="Times New Roman"/>
        </w:rPr>
        <w:t>, and regular contribution to trade magazines.</w:t>
      </w:r>
    </w:p>
    <w:p w14:paraId="73A9CDA6" w14:textId="2BEC94FB" w:rsidR="00486CF2" w:rsidRPr="00D14721" w:rsidRDefault="00B72D8D" w:rsidP="00B72D8D">
      <w:pPr>
        <w:shd w:val="clear" w:color="auto" w:fill="FFFFFF"/>
        <w:spacing w:before="240" w:after="105"/>
        <w:jc w:val="both"/>
        <w:rPr>
          <w:rFonts w:ascii="Times New Roman" w:hAnsi="Times New Roman" w:cs="Times New Roman"/>
          <w:sz w:val="21"/>
          <w:szCs w:val="21"/>
        </w:rPr>
      </w:pPr>
      <w:r w:rsidRPr="009834BB">
        <w:rPr>
          <w:rFonts w:ascii="Times New Roman" w:hAnsi="Times New Roman" w:cs="Times New Roman"/>
        </w:rPr>
        <w:t>Additionally</w:t>
      </w:r>
      <w:r w:rsidR="00266E10" w:rsidRPr="009834BB">
        <w:rPr>
          <w:rFonts w:ascii="Times New Roman" w:hAnsi="Times New Roman" w:cs="Times New Roman"/>
        </w:rPr>
        <w:t xml:space="preserve">, the Institute supports </w:t>
      </w:r>
      <w:r w:rsidRPr="009834BB">
        <w:rPr>
          <w:rFonts w:ascii="Times New Roman" w:hAnsi="Times New Roman" w:cs="Times New Roman"/>
        </w:rPr>
        <w:t xml:space="preserve">the </w:t>
      </w:r>
      <w:r w:rsidR="00266E10" w:rsidRPr="009834BB">
        <w:rPr>
          <w:rFonts w:ascii="Times New Roman" w:hAnsi="Times New Roman" w:cs="Times New Roman"/>
        </w:rPr>
        <w:t>integrati</w:t>
      </w:r>
      <w:r w:rsidRPr="009834BB">
        <w:rPr>
          <w:rFonts w:ascii="Times New Roman" w:hAnsi="Times New Roman" w:cs="Times New Roman"/>
        </w:rPr>
        <w:t>on of</w:t>
      </w:r>
      <w:r w:rsidR="00266E10" w:rsidRPr="009834BB">
        <w:rPr>
          <w:rFonts w:ascii="Times New Roman" w:hAnsi="Times New Roman" w:cs="Times New Roman"/>
        </w:rPr>
        <w:t xml:space="preserve"> climate issues </w:t>
      </w:r>
      <w:r w:rsidRPr="009834BB">
        <w:rPr>
          <w:rFonts w:ascii="Times New Roman" w:hAnsi="Times New Roman" w:cs="Times New Roman"/>
        </w:rPr>
        <w:t>by</w:t>
      </w:r>
      <w:r w:rsidR="00266E10" w:rsidRPr="009834BB">
        <w:rPr>
          <w:rFonts w:ascii="Times New Roman" w:hAnsi="Times New Roman" w:cs="Times New Roman"/>
        </w:rPr>
        <w:t xml:space="preserve"> the </w:t>
      </w:r>
      <w:proofErr w:type="gramStart"/>
      <w:r w:rsidR="00266E10" w:rsidRPr="009834BB">
        <w:rPr>
          <w:rFonts w:ascii="Times New Roman" w:hAnsi="Times New Roman" w:cs="Times New Roman"/>
        </w:rPr>
        <w:t>School’s</w:t>
      </w:r>
      <w:proofErr w:type="gramEnd"/>
      <w:r w:rsidR="00266E10" w:rsidRPr="009834BB">
        <w:rPr>
          <w:rFonts w:ascii="Times New Roman" w:hAnsi="Times New Roman" w:cs="Times New Roman"/>
        </w:rPr>
        <w:t xml:space="preserve"> other research centres and its business ventures. </w:t>
      </w:r>
      <w:r w:rsidR="003A2CBF" w:rsidRPr="009834BB">
        <w:rPr>
          <w:rFonts w:ascii="Times New Roman" w:hAnsi="Times New Roman" w:cs="Times New Roman"/>
        </w:rPr>
        <w:t xml:space="preserve">Notably, we collaborate with </w:t>
      </w:r>
      <w:r w:rsidR="00266E10" w:rsidRPr="009834BB">
        <w:rPr>
          <w:rFonts w:ascii="Times New Roman" w:hAnsi="Times New Roman" w:cs="Times New Roman"/>
        </w:rPr>
        <w:t>t</w:t>
      </w:r>
      <w:r w:rsidR="000B1974" w:rsidRPr="009834BB">
        <w:rPr>
          <w:rFonts w:ascii="Times New Roman" w:hAnsi="Times New Roman" w:cs="Times New Roman"/>
        </w:rPr>
        <w:t xml:space="preserve">he </w:t>
      </w:r>
      <w:hyperlink r:id="rId16" w:history="1">
        <w:r w:rsidR="00EE2E58" w:rsidRPr="00EE2E58">
          <w:rPr>
            <w:rStyle w:val="Hyperlink"/>
            <w:rFonts w:ascii="Times New Roman" w:hAnsi="Times New Roman" w:cs="Times New Roman"/>
          </w:rPr>
          <w:t>EDHEC Infra &amp; Private Assets Research Institute</w:t>
        </w:r>
      </w:hyperlink>
      <w:r w:rsidR="00EE2E58" w:rsidRPr="00EE2E58" w:rsidDel="00EE2E58">
        <w:rPr>
          <w:rFonts w:ascii="Times New Roman" w:hAnsi="Times New Roman" w:cs="Times New Roman"/>
        </w:rPr>
        <w:t xml:space="preserve"> </w:t>
      </w:r>
      <w:r w:rsidR="00266E10" w:rsidRPr="009834BB">
        <w:rPr>
          <w:rFonts w:ascii="Times New Roman" w:hAnsi="Times New Roman" w:cs="Times New Roman"/>
        </w:rPr>
        <w:t>to develop</w:t>
      </w:r>
      <w:r w:rsidR="000B1974" w:rsidRPr="009834BB">
        <w:rPr>
          <w:rFonts w:ascii="Times New Roman" w:hAnsi="Times New Roman" w:cs="Times New Roman"/>
        </w:rPr>
        <w:t xml:space="preserve"> </w:t>
      </w:r>
      <w:r w:rsidRPr="009834BB">
        <w:rPr>
          <w:rFonts w:ascii="Times New Roman" w:hAnsi="Times New Roman" w:cs="Times New Roman"/>
        </w:rPr>
        <w:t>knowledge</w:t>
      </w:r>
      <w:r w:rsidR="000B1974" w:rsidRPr="009834BB">
        <w:rPr>
          <w:rFonts w:ascii="Times New Roman" w:hAnsi="Times New Roman" w:cs="Times New Roman"/>
        </w:rPr>
        <w:t xml:space="preserve"> on</w:t>
      </w:r>
      <w:r w:rsidRPr="009834BB">
        <w:rPr>
          <w:rFonts w:ascii="Times New Roman" w:hAnsi="Times New Roman" w:cs="Times New Roman"/>
        </w:rPr>
        <w:t xml:space="preserve"> </w:t>
      </w:r>
      <w:r w:rsidRPr="009834BB">
        <w:rPr>
          <w:rFonts w:ascii="Times New Roman" w:hAnsi="Times New Roman" w:cs="Times New Roman"/>
          <w:sz w:val="21"/>
          <w:szCs w:val="21"/>
        </w:rPr>
        <w:t>decarboni</w:t>
      </w:r>
      <w:r w:rsidR="00B54C51" w:rsidRPr="009834BB">
        <w:rPr>
          <w:rFonts w:ascii="Times New Roman" w:hAnsi="Times New Roman" w:cs="Times New Roman"/>
          <w:sz w:val="21"/>
          <w:szCs w:val="21"/>
        </w:rPr>
        <w:t>s</w:t>
      </w:r>
      <w:r w:rsidRPr="009834BB">
        <w:rPr>
          <w:rFonts w:ascii="Times New Roman" w:hAnsi="Times New Roman" w:cs="Times New Roman"/>
          <w:sz w:val="21"/>
          <w:szCs w:val="21"/>
        </w:rPr>
        <w:t xml:space="preserve">ation and adaptation across infrastructure sectors. The Institute also hosts the EDHEC Climate Finance School, an initiative </w:t>
      </w:r>
      <w:r w:rsidR="003A2CBF" w:rsidRPr="009834BB">
        <w:rPr>
          <w:rFonts w:ascii="Times New Roman" w:hAnsi="Times New Roman" w:cs="Times New Roman"/>
          <w:sz w:val="21"/>
          <w:szCs w:val="21"/>
        </w:rPr>
        <w:t>aimed at</w:t>
      </w:r>
      <w:r w:rsidRPr="009834BB">
        <w:rPr>
          <w:rFonts w:ascii="Times New Roman" w:hAnsi="Times New Roman" w:cs="Times New Roman"/>
          <w:sz w:val="21"/>
          <w:szCs w:val="21"/>
        </w:rPr>
        <w:t xml:space="preserve"> accelerat</w:t>
      </w:r>
      <w:r w:rsidR="003A2CBF" w:rsidRPr="009834BB">
        <w:rPr>
          <w:rFonts w:ascii="Times New Roman" w:hAnsi="Times New Roman" w:cs="Times New Roman"/>
          <w:sz w:val="21"/>
          <w:szCs w:val="21"/>
        </w:rPr>
        <w:t>ing</w:t>
      </w:r>
      <w:r w:rsidRPr="009834BB">
        <w:rPr>
          <w:rFonts w:ascii="Times New Roman" w:hAnsi="Times New Roman" w:cs="Times New Roman"/>
          <w:sz w:val="21"/>
          <w:szCs w:val="21"/>
        </w:rPr>
        <w:t xml:space="preserve"> the consideration of climate issues in finance by informing and training professionals and future professionals based on advanced research and best industry practices.</w:t>
      </w:r>
    </w:p>
    <w:p w14:paraId="6AE25D1E" w14:textId="77777777" w:rsidR="003A2CBF" w:rsidRPr="00D14721" w:rsidRDefault="003A2CBF" w:rsidP="00B72D8D">
      <w:pPr>
        <w:shd w:val="clear" w:color="auto" w:fill="FFFFFF"/>
        <w:spacing w:before="240" w:after="105"/>
        <w:jc w:val="both"/>
        <w:rPr>
          <w:rFonts w:ascii="Times New Roman" w:hAnsi="Times New Roman" w:cs="Times New Roman"/>
        </w:rPr>
      </w:pPr>
    </w:p>
    <w:p w14:paraId="0D77641F" w14:textId="77777777" w:rsidR="00486CF2" w:rsidRPr="00D14721" w:rsidRDefault="00486CF2" w:rsidP="00486CF2">
      <w:pPr>
        <w:spacing w:line="276" w:lineRule="auto"/>
        <w:ind w:right="-144"/>
        <w:jc w:val="both"/>
        <w:rPr>
          <w:rFonts w:ascii="Times New Roman" w:hAnsi="Times New Roman" w:cs="Times New Roman"/>
          <w:b/>
          <w:bCs/>
          <w:sz w:val="28"/>
          <w:szCs w:val="28"/>
        </w:rPr>
      </w:pPr>
      <w:r w:rsidRPr="00D14721">
        <w:rPr>
          <w:rFonts w:ascii="Times New Roman" w:hAnsi="Times New Roman" w:cs="Times New Roman"/>
          <w:b/>
          <w:bCs/>
          <w:sz w:val="28"/>
          <w:szCs w:val="28"/>
        </w:rPr>
        <w:t>About Scientific Beta</w:t>
      </w:r>
    </w:p>
    <w:p w14:paraId="56348A8C" w14:textId="77777777"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Scientific Beta aims to encourage the entire investment industry to adopt the latest advances in smart factor and ESG/Climate index design and implementation. Established in December 2012 by EDHEC-Risk Institute, one of the top academic institutions in the field of fundamental and applied research for the investment industry, as part of its mission to transfer academic know-how to the financial industry, Scientific Beta shares the same concern for scientific rigour and veracity, which it applies to all the services that it provides to investors and asset managers. We offer the smart factor and ESG/Climate solutions that are most proven scientifically, with full transparency of both methods and associated risks. </w:t>
      </w:r>
    </w:p>
    <w:p w14:paraId="6DC68345" w14:textId="2E1C248C"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On </w:t>
      </w:r>
      <w:r w:rsidR="00EE2E58">
        <w:rPr>
          <w:rFonts w:ascii="Times New Roman" w:hAnsi="Times New Roman" w:cs="Times New Roman"/>
          <w:color w:val="000000" w:themeColor="text1"/>
        </w:rPr>
        <w:t xml:space="preserve">31 </w:t>
      </w:r>
      <w:r w:rsidRPr="00D14721">
        <w:rPr>
          <w:rFonts w:ascii="Times New Roman" w:hAnsi="Times New Roman" w:cs="Times New Roman"/>
          <w:color w:val="000000" w:themeColor="text1"/>
        </w:rPr>
        <w:t xml:space="preserve">January 2020, Singapore Exchange (SGX) acquired a majority stake in Scientific Beta. SGX is maintaining the strong collaboration with EDHEC Business School, and principles of independent, empirical-based academic research, that have benefited Scientific Beta’s development to date. </w:t>
      </w:r>
    </w:p>
    <w:p w14:paraId="160F2A94" w14:textId="2AD58D3E"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Scientific Beta has developed two types of expertise over the years corresponding to two major concerns for investors: </w:t>
      </w:r>
    </w:p>
    <w:p w14:paraId="5EE12EDB" w14:textId="77777777" w:rsidR="00486CF2" w:rsidRPr="00D14721" w:rsidRDefault="00486CF2" w:rsidP="00096149">
      <w:pPr>
        <w:pStyle w:val="ListParagraph"/>
        <w:numPr>
          <w:ilvl w:val="0"/>
          <w:numId w:val="4"/>
        </w:numPr>
        <w:spacing w:after="0" w:line="240" w:lineRule="auto"/>
        <w:jc w:val="both"/>
        <w:rPr>
          <w:rFonts w:ascii="Times New Roman" w:hAnsi="Times New Roman" w:cs="Times New Roman"/>
          <w:color w:val="000000" w:themeColor="text1"/>
        </w:rPr>
      </w:pPr>
      <w:r w:rsidRPr="00D14721">
        <w:rPr>
          <w:rFonts w:ascii="Times New Roman" w:hAnsi="Times New Roman" w:cs="Times New Roman"/>
          <w:color w:val="000000" w:themeColor="text1"/>
        </w:rPr>
        <w:t>Expertise in the area of Smart Beta, and more particularly factor investing</w:t>
      </w:r>
    </w:p>
    <w:p w14:paraId="7FCF5F25" w14:textId="77777777" w:rsidR="00486CF2" w:rsidRPr="00D14721" w:rsidRDefault="00486CF2" w:rsidP="00096149">
      <w:pPr>
        <w:pStyle w:val="ListParagraph"/>
        <w:numPr>
          <w:ilvl w:val="0"/>
          <w:numId w:val="4"/>
        </w:numPr>
        <w:spacing w:after="0" w:line="240" w:lineRule="auto"/>
        <w:jc w:val="both"/>
        <w:rPr>
          <w:rFonts w:ascii="Times New Roman" w:hAnsi="Times New Roman" w:cs="Times New Roman"/>
          <w:color w:val="000000" w:themeColor="text1"/>
        </w:rPr>
      </w:pPr>
      <w:r w:rsidRPr="00D14721">
        <w:rPr>
          <w:rFonts w:ascii="Times New Roman" w:hAnsi="Times New Roman" w:cs="Times New Roman"/>
          <w:color w:val="000000" w:themeColor="text1"/>
        </w:rPr>
        <w:t>Expertise in the area of ESG, and particularly Climate investing</w:t>
      </w:r>
    </w:p>
    <w:p w14:paraId="51821B9B" w14:textId="77777777" w:rsidR="00486CF2" w:rsidRPr="00D14721" w:rsidRDefault="00486CF2" w:rsidP="00096149">
      <w:pPr>
        <w:jc w:val="both"/>
        <w:rPr>
          <w:rFonts w:ascii="Times New Roman" w:hAnsi="Times New Roman" w:cs="Times New Roman"/>
          <w:color w:val="000000" w:themeColor="text1"/>
        </w:rPr>
      </w:pPr>
    </w:p>
    <w:p w14:paraId="05726C83" w14:textId="5D984349"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To date, Scientific Beta is offering two major types of climates objectives: </w:t>
      </w:r>
    </w:p>
    <w:p w14:paraId="11B99FE8" w14:textId="77777777" w:rsidR="00486CF2" w:rsidRPr="00D14721" w:rsidRDefault="00486CF2" w:rsidP="001B38F1">
      <w:pPr>
        <w:pStyle w:val="ListParagraph"/>
        <w:numPr>
          <w:ilvl w:val="0"/>
          <w:numId w:val="4"/>
        </w:numPr>
        <w:spacing w:after="0" w:line="240" w:lineRule="auto"/>
        <w:jc w:val="both"/>
        <w:rPr>
          <w:rFonts w:ascii="Times New Roman" w:hAnsi="Times New Roman" w:cs="Times New Roman"/>
          <w:color w:val="000000" w:themeColor="text1"/>
        </w:rPr>
      </w:pPr>
      <w:r w:rsidRPr="00D14721">
        <w:rPr>
          <w:rFonts w:ascii="Times New Roman" w:hAnsi="Times New Roman" w:cs="Times New Roman"/>
          <w:color w:val="000000" w:themeColor="text1"/>
        </w:rPr>
        <w:t>Since 2015, offerings with financial objectives respecting ESG and Carbon constraints. These offerings correspond to the application of exclusion filters, the design of which allows the financial characteristics of the index to be conserved. This involves reconciling financial objectives and compliance with ESG norms and climate obligations. As such, the Core ESG, Extended ESG and Low Carbon filters can be integrated into smart beta or cap-weighted offerings in line with the financial objectives targeted by the investor.</w:t>
      </w:r>
    </w:p>
    <w:p w14:paraId="122B6115" w14:textId="0B169E21" w:rsidR="00486CF2" w:rsidRPr="00D14721" w:rsidRDefault="00486CF2" w:rsidP="001B38F1">
      <w:pPr>
        <w:pStyle w:val="ListParagraph"/>
        <w:numPr>
          <w:ilvl w:val="0"/>
          <w:numId w:val="4"/>
        </w:numPr>
        <w:spacing w:after="0" w:line="240" w:lineRule="auto"/>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Since 2021, Scientific Beta has been offering indices with pure climate objectives (Climate Impact Consistent Indices) that allow climate exclusions and weightings to </w:t>
      </w:r>
      <w:proofErr w:type="gramStart"/>
      <w:r w:rsidRPr="00D14721">
        <w:rPr>
          <w:rFonts w:ascii="Times New Roman" w:hAnsi="Times New Roman" w:cs="Times New Roman"/>
          <w:color w:val="000000" w:themeColor="text1"/>
        </w:rPr>
        <w:t>be combined</w:t>
      </w:r>
      <w:proofErr w:type="gramEnd"/>
      <w:r w:rsidRPr="00D14721">
        <w:rPr>
          <w:rFonts w:ascii="Times New Roman" w:hAnsi="Times New Roman" w:cs="Times New Roman"/>
          <w:color w:val="000000" w:themeColor="text1"/>
        </w:rPr>
        <w:t xml:space="preserve"> in order to translate companies’ climate alignment engagement into portfolio decisions.</w:t>
      </w:r>
    </w:p>
    <w:p w14:paraId="76557D37" w14:textId="4E883B63"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Since it was acquired by SGX in January 2020, Scientific Beta has accelerated its investments in the area of Climate Investing as part of the SGX Sustainable Exchange strategy, which is mobilising an investment </w:t>
      </w:r>
      <w:r w:rsidRPr="00D14721">
        <w:rPr>
          <w:rFonts w:ascii="Times New Roman" w:hAnsi="Times New Roman" w:cs="Times New Roman"/>
          <w:color w:val="000000" w:themeColor="text1"/>
        </w:rPr>
        <w:lastRenderedPageBreak/>
        <w:t>of SGD20 million. In addition, EDHEC and Scientific Beta have set up a EUR1 million/year ESG Research Chair at EDHEC Business School.</w:t>
      </w:r>
    </w:p>
    <w:p w14:paraId="618D11A6" w14:textId="151499A1"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 xml:space="preserve">With a concern to provide worldwide client servicing, Scientific Beta is present in Boston, London, Nice, Singapore and Tokyo. Scientific Beta has a dedicated team of 55 people who cover not only client support from Nice, Singapore and Boston, but also the development, production and promotion of its index offering. Scientific Beta signed the United Nations-supported Principles for Responsible Investment (PRI) on </w:t>
      </w:r>
      <w:r w:rsidR="008A6B66">
        <w:rPr>
          <w:rFonts w:ascii="Times New Roman" w:hAnsi="Times New Roman" w:cs="Times New Roman"/>
          <w:color w:val="000000" w:themeColor="text1"/>
        </w:rPr>
        <w:t xml:space="preserve">27 </w:t>
      </w:r>
      <w:r w:rsidRPr="00D14721">
        <w:rPr>
          <w:rFonts w:ascii="Times New Roman" w:hAnsi="Times New Roman" w:cs="Times New Roman"/>
          <w:color w:val="000000" w:themeColor="text1"/>
        </w:rPr>
        <w:t xml:space="preserve">September 2016. </w:t>
      </w:r>
      <w:bookmarkStart w:id="3" w:name="_Hlk66431389"/>
      <w:r w:rsidRPr="00D14721">
        <w:rPr>
          <w:rFonts w:ascii="Times New Roman" w:hAnsi="Times New Roman" w:cs="Times New Roman"/>
          <w:color w:val="000000" w:themeColor="text1"/>
        </w:rPr>
        <w:t xml:space="preserve">Scientific Beta became an associate member of the Institutional Investor Group on Climate Change (IIGCC) </w:t>
      </w:r>
      <w:r w:rsidRPr="00D14721">
        <w:rPr>
          <w:rFonts w:ascii="Times New Roman" w:hAnsi="Times New Roman" w:cs="Times New Roman"/>
        </w:rPr>
        <w:t xml:space="preserve">on </w:t>
      </w:r>
      <w:r w:rsidR="008A6B66">
        <w:rPr>
          <w:rFonts w:ascii="Times New Roman" w:hAnsi="Times New Roman" w:cs="Times New Roman"/>
        </w:rPr>
        <w:t xml:space="preserve">9 </w:t>
      </w:r>
      <w:r w:rsidRPr="00D14721">
        <w:rPr>
          <w:rFonts w:ascii="Times New Roman" w:hAnsi="Times New Roman" w:cs="Times New Roman"/>
        </w:rPr>
        <w:t xml:space="preserve">April 2021, and a member of the Investor Group on Climate Change (IGCC) on </w:t>
      </w:r>
      <w:r w:rsidR="008A6B66">
        <w:rPr>
          <w:rFonts w:ascii="Times New Roman" w:hAnsi="Times New Roman" w:cs="Times New Roman"/>
        </w:rPr>
        <w:t xml:space="preserve">28 </w:t>
      </w:r>
      <w:r w:rsidRPr="00D14721">
        <w:rPr>
          <w:rFonts w:ascii="Times New Roman" w:hAnsi="Times New Roman" w:cs="Times New Roman"/>
        </w:rPr>
        <w:t>November 2022.</w:t>
      </w:r>
    </w:p>
    <w:p w14:paraId="7F9DD1FF" w14:textId="3C938645" w:rsidR="00486CF2" w:rsidRPr="00D14721" w:rsidRDefault="00486CF2" w:rsidP="00096149">
      <w:pPr>
        <w:jc w:val="both"/>
        <w:rPr>
          <w:rFonts w:ascii="Times New Roman" w:hAnsi="Times New Roman" w:cs="Times New Roman"/>
          <w:color w:val="000000" w:themeColor="text1"/>
        </w:rPr>
      </w:pPr>
      <w:r w:rsidRPr="00D14721">
        <w:rPr>
          <w:rFonts w:ascii="Times New Roman" w:hAnsi="Times New Roman" w:cs="Times New Roman"/>
          <w:color w:val="000000" w:themeColor="text1"/>
        </w:rPr>
        <w:t>Today, Scientific Beta is devoting more than 40% of its R&amp;D investment to Climate Investing and more than 45% of its assets under replication refer to indices with an ESG or Climate flavour.</w:t>
      </w:r>
      <w:bookmarkEnd w:id="3"/>
      <w:r w:rsidRPr="00D14721">
        <w:rPr>
          <w:rFonts w:ascii="Times New Roman" w:hAnsi="Times New Roman" w:cs="Times New Roman"/>
          <w:color w:val="000000" w:themeColor="text1"/>
        </w:rPr>
        <w:t xml:space="preserve"> As a complement to its own research, Scientific Beta supports an important research initiative developed by EDHEC on ESG and climate investing and cooperates with V.E and ISS ESG for the construction of its ESG and climate indices. </w:t>
      </w:r>
    </w:p>
    <w:p w14:paraId="1F6E00D7" w14:textId="77A1E49A" w:rsidR="00173DDF" w:rsidRPr="00D14721" w:rsidRDefault="00486CF2" w:rsidP="00096149">
      <w:pPr>
        <w:jc w:val="both"/>
        <w:rPr>
          <w:rFonts w:ascii="Times New Roman" w:hAnsi="Times New Roman" w:cs="Times New Roman"/>
        </w:rPr>
      </w:pPr>
      <w:r w:rsidRPr="00D14721">
        <w:rPr>
          <w:rFonts w:ascii="Times New Roman" w:hAnsi="Times New Roman" w:cs="Times New Roman"/>
          <w:color w:val="000000" w:themeColor="text1"/>
        </w:rPr>
        <w:t xml:space="preserve">Scientific Beta was named “Best Specialist ESG Index Provider” at the ESG Investing Awards 2022, which celebrate excellence in </w:t>
      </w:r>
      <w:r w:rsidR="008A6B66">
        <w:rPr>
          <w:rFonts w:ascii="Times New Roman" w:hAnsi="Times New Roman" w:cs="Times New Roman"/>
          <w:color w:val="000000" w:themeColor="text1"/>
        </w:rPr>
        <w:t>ESG</w:t>
      </w:r>
      <w:r w:rsidRPr="00D14721">
        <w:rPr>
          <w:rFonts w:ascii="Times New Roman" w:hAnsi="Times New Roman" w:cs="Times New Roman"/>
          <w:color w:val="000000" w:themeColor="text1"/>
        </w:rPr>
        <w:t xml:space="preserve"> research, ratings, funds, and products.</w:t>
      </w:r>
    </w:p>
    <w:sectPr w:rsidR="00173DDF" w:rsidRPr="00D1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R10">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06FF"/>
    <w:multiLevelType w:val="hybridMultilevel"/>
    <w:tmpl w:val="BD36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B7DD6"/>
    <w:multiLevelType w:val="hybridMultilevel"/>
    <w:tmpl w:val="A04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10FB6"/>
    <w:multiLevelType w:val="hybridMultilevel"/>
    <w:tmpl w:val="A9B63184"/>
    <w:lvl w:ilvl="0" w:tplc="417EDE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72C83"/>
    <w:multiLevelType w:val="multilevel"/>
    <w:tmpl w:val="BA86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677D2"/>
    <w:multiLevelType w:val="hybridMultilevel"/>
    <w:tmpl w:val="2318C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BE57B3"/>
    <w:multiLevelType w:val="hybridMultilevel"/>
    <w:tmpl w:val="645A5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11CBD"/>
    <w:multiLevelType w:val="hybridMultilevel"/>
    <w:tmpl w:val="6D04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77F9B"/>
    <w:multiLevelType w:val="multilevel"/>
    <w:tmpl w:val="54DE6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1"/>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F0"/>
    <w:rsid w:val="000036B7"/>
    <w:rsid w:val="00013088"/>
    <w:rsid w:val="00025CE7"/>
    <w:rsid w:val="0005391F"/>
    <w:rsid w:val="00055E96"/>
    <w:rsid w:val="00064682"/>
    <w:rsid w:val="00066250"/>
    <w:rsid w:val="00080346"/>
    <w:rsid w:val="00082F40"/>
    <w:rsid w:val="000949F7"/>
    <w:rsid w:val="00096149"/>
    <w:rsid w:val="000A086E"/>
    <w:rsid w:val="000B1974"/>
    <w:rsid w:val="000B7512"/>
    <w:rsid w:val="000B7582"/>
    <w:rsid w:val="000B7739"/>
    <w:rsid w:val="000C2DEB"/>
    <w:rsid w:val="000C35C9"/>
    <w:rsid w:val="000C6DC8"/>
    <w:rsid w:val="000D0067"/>
    <w:rsid w:val="000E5774"/>
    <w:rsid w:val="000E6424"/>
    <w:rsid w:val="00103CDB"/>
    <w:rsid w:val="001170CC"/>
    <w:rsid w:val="00120065"/>
    <w:rsid w:val="001323D1"/>
    <w:rsid w:val="00173887"/>
    <w:rsid w:val="00173DDF"/>
    <w:rsid w:val="001771DB"/>
    <w:rsid w:val="00181BE9"/>
    <w:rsid w:val="00183A3B"/>
    <w:rsid w:val="00186706"/>
    <w:rsid w:val="001A00D6"/>
    <w:rsid w:val="001A05BA"/>
    <w:rsid w:val="001B38F1"/>
    <w:rsid w:val="001B3DB6"/>
    <w:rsid w:val="001D1888"/>
    <w:rsid w:val="001E266F"/>
    <w:rsid w:val="001E7064"/>
    <w:rsid w:val="001F1D88"/>
    <w:rsid w:val="002206F7"/>
    <w:rsid w:val="00220B5C"/>
    <w:rsid w:val="00266E10"/>
    <w:rsid w:val="00276857"/>
    <w:rsid w:val="002803E4"/>
    <w:rsid w:val="00282F78"/>
    <w:rsid w:val="002868DA"/>
    <w:rsid w:val="00296169"/>
    <w:rsid w:val="002B1584"/>
    <w:rsid w:val="002B74F5"/>
    <w:rsid w:val="002C06C6"/>
    <w:rsid w:val="002C08F4"/>
    <w:rsid w:val="002D2EDE"/>
    <w:rsid w:val="002E566B"/>
    <w:rsid w:val="002F3D48"/>
    <w:rsid w:val="0030393D"/>
    <w:rsid w:val="00312ED9"/>
    <w:rsid w:val="00315D31"/>
    <w:rsid w:val="003356CD"/>
    <w:rsid w:val="0034215B"/>
    <w:rsid w:val="00344B80"/>
    <w:rsid w:val="003520E3"/>
    <w:rsid w:val="00370121"/>
    <w:rsid w:val="00383569"/>
    <w:rsid w:val="003902AF"/>
    <w:rsid w:val="003A267B"/>
    <w:rsid w:val="003A2CBF"/>
    <w:rsid w:val="003A34E2"/>
    <w:rsid w:val="003A5CEC"/>
    <w:rsid w:val="003A690B"/>
    <w:rsid w:val="003A7499"/>
    <w:rsid w:val="003B06DE"/>
    <w:rsid w:val="003E5070"/>
    <w:rsid w:val="003F18E9"/>
    <w:rsid w:val="003F2891"/>
    <w:rsid w:val="003F52FD"/>
    <w:rsid w:val="00423A94"/>
    <w:rsid w:val="004260E3"/>
    <w:rsid w:val="004373CF"/>
    <w:rsid w:val="00451EA2"/>
    <w:rsid w:val="004543EC"/>
    <w:rsid w:val="004848C7"/>
    <w:rsid w:val="004864AA"/>
    <w:rsid w:val="00486CF2"/>
    <w:rsid w:val="00497F33"/>
    <w:rsid w:val="004A21D9"/>
    <w:rsid w:val="004B4173"/>
    <w:rsid w:val="004C60B3"/>
    <w:rsid w:val="004D1B40"/>
    <w:rsid w:val="004F1705"/>
    <w:rsid w:val="00500853"/>
    <w:rsid w:val="00507E39"/>
    <w:rsid w:val="0051746F"/>
    <w:rsid w:val="0053490B"/>
    <w:rsid w:val="00571110"/>
    <w:rsid w:val="005739D9"/>
    <w:rsid w:val="0057530D"/>
    <w:rsid w:val="005B22F2"/>
    <w:rsid w:val="005B52EF"/>
    <w:rsid w:val="005D463D"/>
    <w:rsid w:val="005D551F"/>
    <w:rsid w:val="005E257C"/>
    <w:rsid w:val="005E7D97"/>
    <w:rsid w:val="005F2464"/>
    <w:rsid w:val="00612B79"/>
    <w:rsid w:val="00622FF2"/>
    <w:rsid w:val="0062456D"/>
    <w:rsid w:val="00627D32"/>
    <w:rsid w:val="00630A23"/>
    <w:rsid w:val="006316DA"/>
    <w:rsid w:val="00632391"/>
    <w:rsid w:val="00634CA5"/>
    <w:rsid w:val="00644838"/>
    <w:rsid w:val="00647E0E"/>
    <w:rsid w:val="00655E51"/>
    <w:rsid w:val="00673BD9"/>
    <w:rsid w:val="00697F8E"/>
    <w:rsid w:val="006E0800"/>
    <w:rsid w:val="006E7090"/>
    <w:rsid w:val="006F4BE4"/>
    <w:rsid w:val="00707E5A"/>
    <w:rsid w:val="00751A70"/>
    <w:rsid w:val="0075508E"/>
    <w:rsid w:val="00764553"/>
    <w:rsid w:val="007649DC"/>
    <w:rsid w:val="00772CD2"/>
    <w:rsid w:val="0077317E"/>
    <w:rsid w:val="007827C9"/>
    <w:rsid w:val="007835C1"/>
    <w:rsid w:val="007B3DE3"/>
    <w:rsid w:val="007D046F"/>
    <w:rsid w:val="007D4930"/>
    <w:rsid w:val="007E5222"/>
    <w:rsid w:val="00802025"/>
    <w:rsid w:val="00807812"/>
    <w:rsid w:val="00811A17"/>
    <w:rsid w:val="00815A45"/>
    <w:rsid w:val="00827D3A"/>
    <w:rsid w:val="00830F45"/>
    <w:rsid w:val="00835B50"/>
    <w:rsid w:val="008477B8"/>
    <w:rsid w:val="0089137C"/>
    <w:rsid w:val="008A6B66"/>
    <w:rsid w:val="008A7C4F"/>
    <w:rsid w:val="00915ABF"/>
    <w:rsid w:val="00941BE6"/>
    <w:rsid w:val="00956CAC"/>
    <w:rsid w:val="009612B3"/>
    <w:rsid w:val="00973E85"/>
    <w:rsid w:val="00980F6B"/>
    <w:rsid w:val="009834BB"/>
    <w:rsid w:val="0099774D"/>
    <w:rsid w:val="00997BCC"/>
    <w:rsid w:val="009A678D"/>
    <w:rsid w:val="009B3311"/>
    <w:rsid w:val="009C0233"/>
    <w:rsid w:val="009D1B61"/>
    <w:rsid w:val="009F43C4"/>
    <w:rsid w:val="00A06A0F"/>
    <w:rsid w:val="00A10B40"/>
    <w:rsid w:val="00A13116"/>
    <w:rsid w:val="00A21066"/>
    <w:rsid w:val="00A547BE"/>
    <w:rsid w:val="00A6111D"/>
    <w:rsid w:val="00A76781"/>
    <w:rsid w:val="00A80846"/>
    <w:rsid w:val="00A83D3C"/>
    <w:rsid w:val="00A84A41"/>
    <w:rsid w:val="00AB70B2"/>
    <w:rsid w:val="00AC0153"/>
    <w:rsid w:val="00AC0735"/>
    <w:rsid w:val="00AC3365"/>
    <w:rsid w:val="00AD6F02"/>
    <w:rsid w:val="00AF32F0"/>
    <w:rsid w:val="00B177F9"/>
    <w:rsid w:val="00B305D3"/>
    <w:rsid w:val="00B33AC6"/>
    <w:rsid w:val="00B446E8"/>
    <w:rsid w:val="00B54C51"/>
    <w:rsid w:val="00B63C98"/>
    <w:rsid w:val="00B72D8D"/>
    <w:rsid w:val="00B73165"/>
    <w:rsid w:val="00BA726B"/>
    <w:rsid w:val="00BB5742"/>
    <w:rsid w:val="00BC0CF8"/>
    <w:rsid w:val="00BF635D"/>
    <w:rsid w:val="00C04EDD"/>
    <w:rsid w:val="00C20EDA"/>
    <w:rsid w:val="00C32F07"/>
    <w:rsid w:val="00C40D18"/>
    <w:rsid w:val="00C44504"/>
    <w:rsid w:val="00C46AB7"/>
    <w:rsid w:val="00C543E8"/>
    <w:rsid w:val="00C729B3"/>
    <w:rsid w:val="00CA0352"/>
    <w:rsid w:val="00CC4E72"/>
    <w:rsid w:val="00CC7570"/>
    <w:rsid w:val="00CD3BAC"/>
    <w:rsid w:val="00CD79DE"/>
    <w:rsid w:val="00D0011F"/>
    <w:rsid w:val="00D0496B"/>
    <w:rsid w:val="00D14721"/>
    <w:rsid w:val="00D17813"/>
    <w:rsid w:val="00D2419D"/>
    <w:rsid w:val="00D54C79"/>
    <w:rsid w:val="00D80E43"/>
    <w:rsid w:val="00D972B0"/>
    <w:rsid w:val="00DA0158"/>
    <w:rsid w:val="00DC1E1C"/>
    <w:rsid w:val="00DC3BEF"/>
    <w:rsid w:val="00DC45AC"/>
    <w:rsid w:val="00DD4799"/>
    <w:rsid w:val="00DE17E9"/>
    <w:rsid w:val="00DE2131"/>
    <w:rsid w:val="00DE5036"/>
    <w:rsid w:val="00DF1336"/>
    <w:rsid w:val="00DF7D18"/>
    <w:rsid w:val="00E04D0D"/>
    <w:rsid w:val="00E151E3"/>
    <w:rsid w:val="00E15B18"/>
    <w:rsid w:val="00E36305"/>
    <w:rsid w:val="00E45337"/>
    <w:rsid w:val="00E55AFF"/>
    <w:rsid w:val="00E76EEC"/>
    <w:rsid w:val="00E77142"/>
    <w:rsid w:val="00E94DF2"/>
    <w:rsid w:val="00E9553B"/>
    <w:rsid w:val="00E9754B"/>
    <w:rsid w:val="00EA2C4C"/>
    <w:rsid w:val="00EB5A81"/>
    <w:rsid w:val="00EC6BFE"/>
    <w:rsid w:val="00ED3034"/>
    <w:rsid w:val="00EE2E58"/>
    <w:rsid w:val="00EE71E7"/>
    <w:rsid w:val="00EE78A3"/>
    <w:rsid w:val="00F058A9"/>
    <w:rsid w:val="00F05AEE"/>
    <w:rsid w:val="00F17313"/>
    <w:rsid w:val="00F1759C"/>
    <w:rsid w:val="00F17F60"/>
    <w:rsid w:val="00F208B2"/>
    <w:rsid w:val="00F30E17"/>
    <w:rsid w:val="00F426D3"/>
    <w:rsid w:val="00F4451C"/>
    <w:rsid w:val="00F52A46"/>
    <w:rsid w:val="00F52DBE"/>
    <w:rsid w:val="00F55651"/>
    <w:rsid w:val="00F60310"/>
    <w:rsid w:val="00F8136D"/>
    <w:rsid w:val="00F86FFF"/>
    <w:rsid w:val="00FA555B"/>
    <w:rsid w:val="00FB440B"/>
    <w:rsid w:val="00FC0F16"/>
    <w:rsid w:val="00FD4B61"/>
    <w:rsid w:val="00FD65A9"/>
    <w:rsid w:val="00FF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BF6B"/>
  <w15:chartTrackingRefBased/>
  <w15:docId w15:val="{F5236EB5-14BA-45CD-804B-3303421F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AF32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32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32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32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32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3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2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2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32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2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2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2F0"/>
    <w:rPr>
      <w:rFonts w:eastAsiaTheme="majorEastAsia" w:cstheme="majorBidi"/>
      <w:color w:val="272727" w:themeColor="text1" w:themeTint="D8"/>
    </w:rPr>
  </w:style>
  <w:style w:type="paragraph" w:styleId="Title">
    <w:name w:val="Title"/>
    <w:basedOn w:val="Normal"/>
    <w:next w:val="Normal"/>
    <w:link w:val="TitleChar"/>
    <w:uiPriority w:val="10"/>
    <w:qFormat/>
    <w:rsid w:val="00AF3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2F0"/>
    <w:pPr>
      <w:spacing w:before="160"/>
      <w:jc w:val="center"/>
    </w:pPr>
    <w:rPr>
      <w:i/>
      <w:iCs/>
      <w:color w:val="404040" w:themeColor="text1" w:themeTint="BF"/>
    </w:rPr>
  </w:style>
  <w:style w:type="character" w:customStyle="1" w:styleId="QuoteChar">
    <w:name w:val="Quote Char"/>
    <w:basedOn w:val="DefaultParagraphFont"/>
    <w:link w:val="Quote"/>
    <w:uiPriority w:val="29"/>
    <w:rsid w:val="00AF32F0"/>
    <w:rPr>
      <w:i/>
      <w:iCs/>
      <w:color w:val="404040" w:themeColor="text1" w:themeTint="BF"/>
    </w:rPr>
  </w:style>
  <w:style w:type="paragraph" w:styleId="ListParagraph">
    <w:name w:val="List Paragraph"/>
    <w:basedOn w:val="Normal"/>
    <w:link w:val="ListParagraphChar"/>
    <w:uiPriority w:val="34"/>
    <w:qFormat/>
    <w:rsid w:val="00AF32F0"/>
    <w:pPr>
      <w:ind w:left="720"/>
      <w:contextualSpacing/>
    </w:pPr>
  </w:style>
  <w:style w:type="character" w:styleId="IntenseEmphasis">
    <w:name w:val="Intense Emphasis"/>
    <w:basedOn w:val="DefaultParagraphFont"/>
    <w:uiPriority w:val="21"/>
    <w:qFormat/>
    <w:rsid w:val="00AF32F0"/>
    <w:rPr>
      <w:i/>
      <w:iCs/>
      <w:color w:val="2F5496" w:themeColor="accent1" w:themeShade="BF"/>
    </w:rPr>
  </w:style>
  <w:style w:type="paragraph" w:styleId="IntenseQuote">
    <w:name w:val="Intense Quote"/>
    <w:basedOn w:val="Normal"/>
    <w:next w:val="Normal"/>
    <w:link w:val="IntenseQuoteChar"/>
    <w:uiPriority w:val="30"/>
    <w:qFormat/>
    <w:rsid w:val="00AF3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32F0"/>
    <w:rPr>
      <w:i/>
      <w:iCs/>
      <w:color w:val="2F5496" w:themeColor="accent1" w:themeShade="BF"/>
    </w:rPr>
  </w:style>
  <w:style w:type="character" w:styleId="IntenseReference">
    <w:name w:val="Intense Reference"/>
    <w:basedOn w:val="DefaultParagraphFont"/>
    <w:uiPriority w:val="32"/>
    <w:qFormat/>
    <w:rsid w:val="00AF32F0"/>
    <w:rPr>
      <w:b/>
      <w:bCs/>
      <w:smallCaps/>
      <w:color w:val="2F5496" w:themeColor="accent1" w:themeShade="BF"/>
      <w:spacing w:val="5"/>
    </w:rPr>
  </w:style>
  <w:style w:type="paragraph" w:styleId="Header">
    <w:name w:val="header"/>
    <w:basedOn w:val="Normal"/>
    <w:link w:val="HeaderChar"/>
    <w:semiHidden/>
    <w:unhideWhenUsed/>
    <w:rsid w:val="00AB70B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HeaderChar">
    <w:name w:val="Header Char"/>
    <w:basedOn w:val="DefaultParagraphFont"/>
    <w:link w:val="Header"/>
    <w:semiHidden/>
    <w:rsid w:val="00AB70B2"/>
    <w:rPr>
      <w:rFonts w:ascii="Times New Roman" w:eastAsia="Times New Roman" w:hAnsi="Times New Roman" w:cs="Times New Roman"/>
      <w:sz w:val="20"/>
      <w:szCs w:val="20"/>
      <w:lang w:val="en-GB" w:eastAsia="fr-FR"/>
    </w:rPr>
  </w:style>
  <w:style w:type="paragraph" w:styleId="Revision">
    <w:name w:val="Revision"/>
    <w:hidden/>
    <w:uiPriority w:val="99"/>
    <w:semiHidden/>
    <w:rsid w:val="002C06C6"/>
    <w:pPr>
      <w:spacing w:after="0" w:line="240" w:lineRule="auto"/>
    </w:pPr>
  </w:style>
  <w:style w:type="character" w:styleId="CommentReference">
    <w:name w:val="annotation reference"/>
    <w:basedOn w:val="DefaultParagraphFont"/>
    <w:uiPriority w:val="99"/>
    <w:semiHidden/>
    <w:unhideWhenUsed/>
    <w:rsid w:val="00F208B2"/>
    <w:rPr>
      <w:sz w:val="16"/>
      <w:szCs w:val="16"/>
    </w:rPr>
  </w:style>
  <w:style w:type="paragraph" w:styleId="CommentText">
    <w:name w:val="annotation text"/>
    <w:basedOn w:val="Normal"/>
    <w:link w:val="CommentTextChar"/>
    <w:uiPriority w:val="99"/>
    <w:unhideWhenUsed/>
    <w:rsid w:val="00F208B2"/>
    <w:pPr>
      <w:spacing w:line="240" w:lineRule="auto"/>
    </w:pPr>
    <w:rPr>
      <w:sz w:val="20"/>
      <w:szCs w:val="20"/>
    </w:rPr>
  </w:style>
  <w:style w:type="character" w:customStyle="1" w:styleId="CommentTextChar">
    <w:name w:val="Comment Text Char"/>
    <w:basedOn w:val="DefaultParagraphFont"/>
    <w:link w:val="CommentText"/>
    <w:uiPriority w:val="99"/>
    <w:rsid w:val="00F208B2"/>
    <w:rPr>
      <w:sz w:val="20"/>
      <w:szCs w:val="20"/>
    </w:rPr>
  </w:style>
  <w:style w:type="paragraph" w:styleId="CommentSubject">
    <w:name w:val="annotation subject"/>
    <w:basedOn w:val="CommentText"/>
    <w:next w:val="CommentText"/>
    <w:link w:val="CommentSubjectChar"/>
    <w:uiPriority w:val="99"/>
    <w:semiHidden/>
    <w:unhideWhenUsed/>
    <w:rsid w:val="00F208B2"/>
    <w:rPr>
      <w:b/>
      <w:bCs/>
    </w:rPr>
  </w:style>
  <w:style w:type="character" w:customStyle="1" w:styleId="CommentSubjectChar">
    <w:name w:val="Comment Subject Char"/>
    <w:basedOn w:val="CommentTextChar"/>
    <w:link w:val="CommentSubject"/>
    <w:uiPriority w:val="99"/>
    <w:semiHidden/>
    <w:rsid w:val="00F208B2"/>
    <w:rPr>
      <w:b/>
      <w:bCs/>
      <w:sz w:val="20"/>
      <w:szCs w:val="20"/>
    </w:rPr>
  </w:style>
  <w:style w:type="character" w:styleId="Hyperlink">
    <w:name w:val="Hyperlink"/>
    <w:basedOn w:val="DefaultParagraphFont"/>
    <w:uiPriority w:val="99"/>
    <w:rsid w:val="000B1974"/>
    <w:rPr>
      <w:color w:val="0000FF"/>
      <w:u w:val="single"/>
    </w:rPr>
  </w:style>
  <w:style w:type="character" w:customStyle="1" w:styleId="ListParagraphChar">
    <w:name w:val="List Paragraph Char"/>
    <w:basedOn w:val="DefaultParagraphFont"/>
    <w:link w:val="ListParagraph"/>
    <w:uiPriority w:val="34"/>
    <w:rsid w:val="00486CF2"/>
  </w:style>
  <w:style w:type="character" w:customStyle="1" w:styleId="ui-provider">
    <w:name w:val="ui-provider"/>
    <w:basedOn w:val="DefaultParagraphFont"/>
    <w:rsid w:val="00DA0158"/>
  </w:style>
  <w:style w:type="character" w:styleId="Strong">
    <w:name w:val="Strong"/>
    <w:basedOn w:val="DefaultParagraphFont"/>
    <w:uiPriority w:val="22"/>
    <w:qFormat/>
    <w:rsid w:val="004A21D9"/>
    <w:rPr>
      <w:b/>
      <w:bCs/>
    </w:rPr>
  </w:style>
  <w:style w:type="paragraph" w:styleId="NormalWeb">
    <w:name w:val="Normal (Web)"/>
    <w:basedOn w:val="Normal"/>
    <w:uiPriority w:val="99"/>
    <w:semiHidden/>
    <w:unhideWhenUsed/>
    <w:rsid w:val="003A2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54C51"/>
    <w:rPr>
      <w:color w:val="605E5C"/>
      <w:shd w:val="clear" w:color="auto" w:fill="E1DFDD"/>
    </w:rPr>
  </w:style>
  <w:style w:type="character" w:styleId="FollowedHyperlink">
    <w:name w:val="FollowedHyperlink"/>
    <w:basedOn w:val="DefaultParagraphFont"/>
    <w:uiPriority w:val="99"/>
    <w:semiHidden/>
    <w:unhideWhenUsed/>
    <w:rsid w:val="00BA7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8359">
      <w:bodyDiv w:val="1"/>
      <w:marLeft w:val="0"/>
      <w:marRight w:val="0"/>
      <w:marTop w:val="0"/>
      <w:marBottom w:val="0"/>
      <w:divBdr>
        <w:top w:val="none" w:sz="0" w:space="0" w:color="auto"/>
        <w:left w:val="none" w:sz="0" w:space="0" w:color="auto"/>
        <w:bottom w:val="none" w:sz="0" w:space="0" w:color="auto"/>
        <w:right w:val="none" w:sz="0" w:space="0" w:color="auto"/>
      </w:divBdr>
    </w:div>
    <w:div w:id="318190138">
      <w:bodyDiv w:val="1"/>
      <w:marLeft w:val="0"/>
      <w:marRight w:val="0"/>
      <w:marTop w:val="0"/>
      <w:marBottom w:val="0"/>
      <w:divBdr>
        <w:top w:val="none" w:sz="0" w:space="0" w:color="auto"/>
        <w:left w:val="none" w:sz="0" w:space="0" w:color="auto"/>
        <w:bottom w:val="none" w:sz="0" w:space="0" w:color="auto"/>
        <w:right w:val="none" w:sz="0" w:space="0" w:color="auto"/>
      </w:divBdr>
    </w:div>
    <w:div w:id="793598068">
      <w:bodyDiv w:val="1"/>
      <w:marLeft w:val="0"/>
      <w:marRight w:val="0"/>
      <w:marTop w:val="0"/>
      <w:marBottom w:val="0"/>
      <w:divBdr>
        <w:top w:val="none" w:sz="0" w:space="0" w:color="auto"/>
        <w:left w:val="none" w:sz="0" w:space="0" w:color="auto"/>
        <w:bottom w:val="none" w:sz="0" w:space="0" w:color="auto"/>
        <w:right w:val="none" w:sz="0" w:space="0" w:color="auto"/>
      </w:divBdr>
    </w:div>
    <w:div w:id="878276676">
      <w:bodyDiv w:val="1"/>
      <w:marLeft w:val="0"/>
      <w:marRight w:val="0"/>
      <w:marTop w:val="0"/>
      <w:marBottom w:val="0"/>
      <w:divBdr>
        <w:top w:val="none" w:sz="0" w:space="0" w:color="auto"/>
        <w:left w:val="none" w:sz="0" w:space="0" w:color="auto"/>
        <w:bottom w:val="none" w:sz="0" w:space="0" w:color="auto"/>
        <w:right w:val="none" w:sz="0" w:space="0" w:color="auto"/>
      </w:divBdr>
    </w:div>
    <w:div w:id="1182356228">
      <w:bodyDiv w:val="1"/>
      <w:marLeft w:val="0"/>
      <w:marRight w:val="0"/>
      <w:marTop w:val="0"/>
      <w:marBottom w:val="0"/>
      <w:divBdr>
        <w:top w:val="none" w:sz="0" w:space="0" w:color="auto"/>
        <w:left w:val="none" w:sz="0" w:space="0" w:color="auto"/>
        <w:bottom w:val="none" w:sz="0" w:space="0" w:color="auto"/>
        <w:right w:val="none" w:sz="0" w:space="0" w:color="auto"/>
      </w:divBdr>
    </w:div>
    <w:div w:id="1184170561">
      <w:bodyDiv w:val="1"/>
      <w:marLeft w:val="0"/>
      <w:marRight w:val="0"/>
      <w:marTop w:val="0"/>
      <w:marBottom w:val="0"/>
      <w:divBdr>
        <w:top w:val="none" w:sz="0" w:space="0" w:color="auto"/>
        <w:left w:val="none" w:sz="0" w:space="0" w:color="auto"/>
        <w:bottom w:val="none" w:sz="0" w:space="0" w:color="auto"/>
        <w:right w:val="none" w:sz="0" w:space="0" w:color="auto"/>
      </w:divBdr>
    </w:div>
    <w:div w:id="1716849277">
      <w:bodyDiv w:val="1"/>
      <w:marLeft w:val="0"/>
      <w:marRight w:val="0"/>
      <w:marTop w:val="0"/>
      <w:marBottom w:val="0"/>
      <w:divBdr>
        <w:top w:val="none" w:sz="0" w:space="0" w:color="auto"/>
        <w:left w:val="none" w:sz="0" w:space="0" w:color="auto"/>
        <w:bottom w:val="none" w:sz="0" w:space="0" w:color="auto"/>
        <w:right w:val="none" w:sz="0" w:space="0" w:color="auto"/>
      </w:divBdr>
    </w:div>
    <w:div w:id="1755783481">
      <w:bodyDiv w:val="1"/>
      <w:marLeft w:val="0"/>
      <w:marRight w:val="0"/>
      <w:marTop w:val="0"/>
      <w:marBottom w:val="0"/>
      <w:divBdr>
        <w:top w:val="none" w:sz="0" w:space="0" w:color="auto"/>
        <w:left w:val="none" w:sz="0" w:space="0" w:color="auto"/>
        <w:bottom w:val="none" w:sz="0" w:space="0" w:color="auto"/>
        <w:right w:val="none" w:sz="0" w:space="0" w:color="auto"/>
      </w:divBdr>
    </w:div>
    <w:div w:id="20888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impact.edhe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hec.infrastructure.institu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impact.edhec.edu/sites/ercii/files/pdf/ercii_publication_how_does_climate_risk_affect_equity_valuations.pdf" TargetMode="External"/><Relationship Id="rId5" Type="http://schemas.openxmlformats.org/officeDocument/2006/relationships/numbering" Target="numbering.xml"/><Relationship Id="rId15" Type="http://schemas.openxmlformats.org/officeDocument/2006/relationships/hyperlink" Target="https://climateimpact.edhec.edu" TargetMode="External"/><Relationship Id="rId10" Type="http://schemas.openxmlformats.org/officeDocument/2006/relationships/hyperlink" Target="https://climateimpact.edhec.edu/sites/ercii/files/pdf/ercii_publication_how_does_climate_risk_affect_equity_valuations.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edhec.edu/en/research-and-faculty/faculty/professors-and-researchers/riccardo-rebon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A5998160B584A902F3274EA04A28C" ma:contentTypeVersion="4" ma:contentTypeDescription="Crée un document." ma:contentTypeScope="" ma:versionID="cf682698431783d861c102100eee1d00">
  <xsd:schema xmlns:xsd="http://www.w3.org/2001/XMLSchema" xmlns:xs="http://www.w3.org/2001/XMLSchema" xmlns:p="http://schemas.microsoft.com/office/2006/metadata/properties" xmlns:ns3="df7dd993-ca6c-4f14-9863-42fc76cb3774" targetNamespace="http://schemas.microsoft.com/office/2006/metadata/properties" ma:root="true" ma:fieldsID="ee5879f254ee0c303b5a6c8ebe23b973" ns3:_="">
    <xsd:import namespace="df7dd993-ca6c-4f14-9863-42fc76cb377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dd993-ca6c-4f14-9863-42fc76cb3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75CD-146E-442F-A037-508E65178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dd993-ca6c-4f14-9863-42fc76cb3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F62A4-04E9-4115-A375-BEC18BC59850}">
  <ds:schemaRefs>
    <ds:schemaRef ds:uri="df7dd993-ca6c-4f14-9863-42fc76cb377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8857AC-650E-42E3-9E65-A5F0B3FAF6A6}">
  <ds:schemaRefs>
    <ds:schemaRef ds:uri="http://schemas.microsoft.com/sharepoint/v3/contenttype/forms"/>
  </ds:schemaRefs>
</ds:datastoreItem>
</file>

<file path=customXml/itemProps4.xml><?xml version="1.0" encoding="utf-8"?>
<ds:datastoreItem xmlns:ds="http://schemas.openxmlformats.org/officeDocument/2006/customXml" ds:itemID="{F09E96ED-CD3E-496D-818D-4B94E45F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Scientific Beta</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Exartier, Elias</dc:creator>
  <cp:keywords/>
  <dc:description/>
  <cp:lastModifiedBy>Moutfi Abderrazak</cp:lastModifiedBy>
  <cp:revision>3</cp:revision>
  <dcterms:created xsi:type="dcterms:W3CDTF">2024-07-09T14:35:00Z</dcterms:created>
  <dcterms:modified xsi:type="dcterms:W3CDTF">2024-07-09T16:25:00Z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0x0101008B6A5998160B584A902F3274EA04A28C</vt:lpwstr>
  </property>
</Properties>
</file>